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right"/>
      </w:pPr>
      <w:r>
        <w:rPr>
          <w:b/>
          <w:bCs/>
          <w:sz w:val="22"/>
          <w:szCs w:val="22"/>
        </w:rPr>
        <w:t xml:space="preserve">УТВЕРЖДЕНО</w:t>
      </w:r>
    </w:p>
    <w:p>
      <w:pPr>
        <w:spacing w:after="80"/>
        <w:jc w:val="right"/>
      </w:pPr>
      <w:r>
        <w:rPr>
          <w:sz w:val="22"/>
          <w:szCs w:val="22"/>
        </w:rPr>
        <w:t xml:space="preserve">Приказом Генерального директора</w:t>
      </w:r>
    </w:p>
    <w:p>
      <w:pPr>
        <w:spacing w:after="80"/>
        <w:jc w:val="right"/>
      </w:pPr>
      <w:r>
        <w:rPr>
          <w:sz w:val="22"/>
          <w:szCs w:val="22"/>
        </w:rPr>
        <w:t xml:space="preserve">ООО «ПЕТРОНАР»</w:t>
      </w:r>
    </w:p>
    <w:p>
      <w:pPr>
        <w:spacing w:after="80"/>
        <w:jc w:val="right"/>
      </w:pPr>
      <w:r>
        <w:rPr>
          <w:sz w:val="22"/>
          <w:szCs w:val="22"/>
        </w:rPr>
        <w:t xml:space="preserve">от 27 мая 2026 г. № ___</w:t>
      </w:r>
    </w:p>
    <w:p>
      <w:pPr>
        <w:spacing w:after="80"/>
        <w:jc w:val="right"/>
      </w:pPr>
      <w:r>
        <w:rPr>
          <w:sz w:val="22"/>
          <w:szCs w:val="22"/>
        </w:rPr>
        <w:t xml:space="preserve">в редакции приказа от 2 ноября 2026 г. № 9-ПДн</w:t>
      </w:r>
    </w:p>
    <w:p>
      <w:pPr>
        <w:spacing w:after="360"/>
        <w:jc w:val="right"/>
      </w:pPr>
      <w:r>
        <w:rPr>
          <w:sz w:val="22"/>
          <w:szCs w:val="22"/>
        </w:rPr>
        <w:t xml:space="preserve">Версия 2.1</w:t>
      </w:r>
    </w:p>
    <w:p>
      <w:pPr>
        <w:spacing w:after="120"/>
        <w:jc w:val="center"/>
      </w:pPr>
      <w:r>
        <w:rPr>
          <w:b/>
          <w:bCs/>
          <w:sz w:val="32"/>
          <w:szCs w:val="32"/>
        </w:rPr>
        <w:t xml:space="preserve">ПОЛИТИКА</w:t>
      </w:r>
    </w:p>
    <w:p>
      <w:pPr>
        <w:spacing w:after="120"/>
        <w:jc w:val="center"/>
      </w:pPr>
      <w:r>
        <w:rPr>
          <w:b/>
          <w:bCs/>
          <w:sz w:val="26"/>
          <w:szCs w:val="26"/>
        </w:rPr>
        <w:t xml:space="preserve">Общества с ограниченной ответственностью «ПЕТРОНАР»</w:t>
      </w:r>
    </w:p>
    <w:p>
      <w:pPr>
        <w:spacing w:after="480"/>
        <w:jc w:val="center"/>
      </w:pPr>
      <w:r>
        <w:rPr>
          <w:b/>
          <w:bCs/>
          <w:sz w:val="26"/>
          <w:szCs w:val="26"/>
        </w:rPr>
        <w:t xml:space="preserve">в отношении обработки и обеспечения безопасности персональных данных</w:t>
      </w:r>
    </w:p>
    <w:p>
      <w:pPr>
        <w:pStyle w:val="Heading1"/>
        <w:spacing w:after="200" w:before="360"/>
      </w:pPr>
      <w:r>
        <w:rPr>
          <w:b/>
          <w:bCs/>
          <w:sz w:val="28"/>
          <w:szCs w:val="28"/>
        </w:rPr>
        <w:t xml:space="preserve">1. ОБЩИЕ ПОЛОЖЕНИЯ</w:t>
      </w:r>
    </w:p>
    <w:p>
      <w:pPr>
        <w:spacing w:after="120"/>
        <w:jc w:val="both"/>
      </w:pPr>
      <w:r>
        <w:rPr>
          <w:sz w:val="22"/>
          <w:szCs w:val="22"/>
        </w:rPr>
        <w:t xml:space="preserve">1.1. Настоящая Политика в отношении обработки персональных данных (далее — «Политика») разработана Обществом с ограниченной ответственностью «ПЕТРОНАР» (далее — «Оператор», «Общество», «Петронар») во исполнение требований пункта 2 части 1 статьи 18.1 Федерального закона от 27 июля 2006 г. № 152-ФЗ «О персональных данных» (далее — «152-ФЗ»).</w:t>
      </w:r>
    </w:p>
    <w:p>
      <w:pPr>
        <w:spacing w:after="120"/>
        <w:jc w:val="both"/>
      </w:pPr>
      <w:r>
        <w:rPr>
          <w:sz w:val="22"/>
          <w:szCs w:val="22"/>
        </w:rPr>
        <w:t xml:space="preserve">1.2. Политика определяет принципы, цели, условия и способы обработки персональных данных, перечни субъектов и обрабатываемых персональных данных, права и обязанности Оператора и субъектов персональных данных, а также реализованные меры по защите персональных данных от неправомерного доступа, уничтожения, изменения, копирования, распространения и иных неправомерных действий.</w:t>
      </w:r>
    </w:p>
    <w:p>
      <w:pPr>
        <w:spacing w:after="120"/>
        <w:jc w:val="both"/>
      </w:pPr>
      <w:r>
        <w:rPr>
          <w:sz w:val="22"/>
          <w:szCs w:val="22"/>
        </w:rPr>
        <w:t xml:space="preserve">1.3. Действие настоящей Политики распространяется на всю информацию, которую Оператор может получить о субъекте персональных данных во время использования им сайта www.petronar.ru (далее — «Сайт»), при взаимодействии с Оператором в рамках заключённых договоров, при ведении кадрового и бухгалтерского учёта, а также в рамках иной деятельности Оператора.</w:t>
      </w:r>
    </w:p>
    <w:p>
      <w:pPr>
        <w:spacing w:after="120"/>
        <w:jc w:val="both"/>
      </w:pPr>
      <w:r>
        <w:rPr>
          <w:sz w:val="22"/>
          <w:szCs w:val="22"/>
        </w:rPr>
        <w:t xml:space="preserve">1.4. Политика разработана в соответствии с:</w:t>
      </w:r>
    </w:p>
    <w:p>
      <w:pPr>
        <w:pStyle w:val="ListParagraph"/>
        <w:numPr>
          <w:ilvl w:val="0"/>
          <w:numId w:val="2"/>
        </w:numPr>
        <w:spacing w:after="80"/>
        <w:jc w:val="both"/>
      </w:pPr>
      <w:r>
        <w:rPr>
          <w:sz w:val="22"/>
          <w:szCs w:val="22"/>
        </w:rPr>
        <w:t xml:space="preserve">Конституцией Российской Федерации;</w:t>
      </w:r>
    </w:p>
    <w:p>
      <w:pPr>
        <w:pStyle w:val="ListParagraph"/>
        <w:numPr>
          <w:ilvl w:val="0"/>
          <w:numId w:val="2"/>
        </w:numPr>
        <w:spacing w:after="80"/>
        <w:jc w:val="both"/>
      </w:pPr>
      <w:r>
        <w:rPr>
          <w:sz w:val="22"/>
          <w:szCs w:val="22"/>
        </w:rPr>
        <w:t xml:space="preserve">Гражданским, Трудовым и Налоговым кодексами Российской Федерации;</w:t>
      </w:r>
    </w:p>
    <w:p>
      <w:pPr>
        <w:pStyle w:val="ListParagraph"/>
        <w:numPr>
          <w:ilvl w:val="0"/>
          <w:numId w:val="2"/>
        </w:numPr>
        <w:spacing w:after="80"/>
        <w:jc w:val="both"/>
      </w:pPr>
      <w:r>
        <w:rPr>
          <w:sz w:val="22"/>
          <w:szCs w:val="22"/>
        </w:rPr>
        <w:t xml:space="preserve">Федеральным законом от 27.07.2006 № 152-ФЗ «О персональных данных»;</w:t>
      </w:r>
    </w:p>
    <w:p>
      <w:pPr>
        <w:pStyle w:val="ListParagraph"/>
        <w:numPr>
          <w:ilvl w:val="0"/>
          <w:numId w:val="2"/>
        </w:numPr>
        <w:spacing w:after="80"/>
        <w:jc w:val="both"/>
      </w:pPr>
      <w:r>
        <w:rPr>
          <w:sz w:val="22"/>
          <w:szCs w:val="22"/>
        </w:rPr>
        <w:t xml:space="preserve">Федеральным законом от 27.07.2006 № 149-ФЗ «Об информации, информационных технологиях и о защите информации»;</w:t>
      </w:r>
    </w:p>
    <w:p>
      <w:pPr>
        <w:pStyle w:val="ListParagraph"/>
        <w:numPr>
          <w:ilvl w:val="0"/>
          <w:numId w:val="2"/>
        </w:numPr>
        <w:spacing w:after="80"/>
        <w:jc w:val="both"/>
      </w:pPr>
      <w:r>
        <w:rPr>
          <w:sz w:val="22"/>
          <w:szCs w:val="22"/>
        </w:rPr>
        <w:t xml:space="preserve">Федеральным законом от 21.07.2014 № 242-ФЗ (требование о локализации баз ПДн граждан РФ на территории России);</w:t>
      </w:r>
    </w:p>
    <w:p>
      <w:pPr>
        <w:pStyle w:val="ListParagraph"/>
        <w:numPr>
          <w:ilvl w:val="0"/>
          <w:numId w:val="2"/>
        </w:numPr>
        <w:spacing w:after="80"/>
        <w:jc w:val="both"/>
      </w:pPr>
      <w:r>
        <w:rPr>
          <w:sz w:val="22"/>
          <w:szCs w:val="22"/>
        </w:rPr>
        <w:t xml:space="preserve">Федеральным законом от 14.07.2022 № 266-ФЗ;</w:t>
      </w:r>
    </w:p>
    <w:p>
      <w:pPr>
        <w:pStyle w:val="ListParagraph"/>
        <w:numPr>
          <w:ilvl w:val="0"/>
          <w:numId w:val="2"/>
        </w:numPr>
        <w:spacing w:after="80"/>
        <w:jc w:val="both"/>
      </w:pPr>
      <w:r>
        <w:rPr>
          <w:sz w:val="22"/>
          <w:szCs w:val="22"/>
        </w:rPr>
        <w:t xml:space="preserve">Постановлением Правительства РФ от 01.11.2012 № 1119;</w:t>
      </w:r>
    </w:p>
    <w:p>
      <w:pPr>
        <w:pStyle w:val="ListParagraph"/>
        <w:numPr>
          <w:ilvl w:val="0"/>
          <w:numId w:val="2"/>
        </w:numPr>
        <w:spacing w:after="80"/>
        <w:jc w:val="both"/>
      </w:pPr>
      <w:r>
        <w:rPr>
          <w:sz w:val="22"/>
          <w:szCs w:val="22"/>
        </w:rPr>
        <w:t xml:space="preserve">Постановлением Правительства РФ от 15.09.2008 № 687;</w:t>
      </w:r>
    </w:p>
    <w:p>
      <w:pPr>
        <w:pStyle w:val="ListParagraph"/>
        <w:numPr>
          <w:ilvl w:val="0"/>
          <w:numId w:val="2"/>
        </w:numPr>
        <w:spacing w:after="80"/>
        <w:jc w:val="both"/>
      </w:pPr>
      <w:r>
        <w:rPr>
          <w:sz w:val="22"/>
          <w:szCs w:val="22"/>
        </w:rPr>
        <w:t xml:space="preserve">Приказом ФСТЭК России от 18.02.2013 № 21;</w:t>
      </w:r>
    </w:p>
    <w:p>
      <w:pPr>
        <w:pStyle w:val="ListParagraph"/>
        <w:numPr>
          <w:ilvl w:val="0"/>
          <w:numId w:val="2"/>
        </w:numPr>
        <w:spacing w:after="80"/>
        <w:jc w:val="both"/>
      </w:pPr>
      <w:r>
        <w:rPr>
          <w:sz w:val="22"/>
          <w:szCs w:val="22"/>
        </w:rPr>
        <w:t xml:space="preserve">Приказом ФСБ России от 10.07.2014 № 378;</w:t>
      </w:r>
    </w:p>
    <w:p>
      <w:pPr>
        <w:pStyle w:val="ListParagraph"/>
        <w:numPr>
          <w:ilvl w:val="0"/>
          <w:numId w:val="2"/>
        </w:numPr>
        <w:spacing w:after="80"/>
        <w:jc w:val="both"/>
      </w:pPr>
      <w:r>
        <w:rPr>
          <w:sz w:val="22"/>
          <w:szCs w:val="22"/>
        </w:rPr>
        <w:t xml:space="preserve">Приказами и иными нормативными правовыми актами Роскомнадзора.</w:t>
      </w:r>
    </w:p>
    <w:p>
      <w:pPr>
        <w:pStyle w:val="Heading2"/>
        <w:spacing w:after="120" w:before="240"/>
      </w:pPr>
      <w:r>
        <w:rPr>
          <w:b/>
          <w:bCs/>
          <w:sz w:val="24"/>
          <w:szCs w:val="24"/>
        </w:rPr>
        <w:t xml:space="preserve">1.5. Сведения об Операторе</w:t>
      </w:r>
    </w:p>
    <w:p>
      <w:pPr>
        <w:spacing w:after="120"/>
        <w:jc w:val="both"/>
      </w:pPr>
      <w:r>
        <w:rPr>
          <w:sz w:val="22"/>
          <w:szCs w:val="22"/>
        </w:rPr>
        <w:t xml:space="preserve">Полное наименование: Общество с ограниченной ответственностью «ПЕТРОНАР».</w:t>
      </w:r>
    </w:p>
    <w:p>
      <w:pPr>
        <w:spacing w:after="120"/>
        <w:jc w:val="both"/>
      </w:pPr>
      <w:r>
        <w:rPr>
          <w:sz w:val="22"/>
          <w:szCs w:val="22"/>
        </w:rPr>
        <w:t xml:space="preserve">Сокращённое наименование: ООО «ПЕТРОНАР» (PETRONAR LLC).</w:t>
      </w:r>
    </w:p>
    <w:p>
      <w:pPr>
        <w:spacing w:after="120"/>
        <w:jc w:val="both"/>
      </w:pPr>
      <w:r>
        <w:rPr>
          <w:sz w:val="22"/>
          <w:szCs w:val="22"/>
        </w:rPr>
        <w:t xml:space="preserve">ИНН: 9705250447.</w:t>
      </w:r>
    </w:p>
    <w:p>
      <w:pPr>
        <w:spacing w:after="120"/>
        <w:jc w:val="both"/>
      </w:pPr>
      <w:r>
        <w:rPr>
          <w:sz w:val="22"/>
          <w:szCs w:val="22"/>
        </w:rPr>
        <w:t xml:space="preserve">ОГРН: 1257700511496.</w:t>
      </w:r>
    </w:p>
    <w:p>
      <w:pPr>
        <w:spacing w:after="120"/>
        <w:jc w:val="both"/>
      </w:pPr>
      <w:r>
        <w:rPr>
          <w:sz w:val="22"/>
          <w:szCs w:val="22"/>
        </w:rPr>
        <w:t xml:space="preserve">КПП: 770501001.</w:t>
      </w:r>
    </w:p>
    <w:p>
      <w:pPr>
        <w:spacing w:after="120"/>
        <w:jc w:val="both"/>
      </w:pPr>
      <w:r>
        <w:rPr>
          <w:sz w:val="22"/>
          <w:szCs w:val="22"/>
        </w:rPr>
        <w:t xml:space="preserve">Адрес: 119017, г. Москва, вн. тер. г. муниципальный округ Замоскворечье, ул. Пятницкая, д. 37, помещ. 1/1.</w:t>
      </w:r>
    </w:p>
    <w:p>
      <w:pPr>
        <w:spacing w:after="120"/>
        <w:jc w:val="both"/>
      </w:pPr>
      <w:r>
        <w:rPr>
          <w:sz w:val="22"/>
          <w:szCs w:val="22"/>
        </w:rPr>
        <w:t xml:space="preserve">Телефон: +7 (499) 394-70-59.</w:t>
      </w:r>
    </w:p>
    <w:p>
      <w:pPr>
        <w:spacing w:after="120"/>
        <w:jc w:val="both"/>
      </w:pPr>
      <w:r>
        <w:rPr>
          <w:sz w:val="22"/>
          <w:szCs w:val="22"/>
        </w:rPr>
        <w:t xml:space="preserve">Электронная почта: info@petronar.ru.</w:t>
      </w:r>
    </w:p>
    <w:p>
      <w:pPr>
        <w:spacing w:after="120"/>
        <w:jc w:val="both"/>
      </w:pPr>
      <w:r>
        <w:rPr>
          <w:sz w:val="22"/>
          <w:szCs w:val="22"/>
        </w:rPr>
        <w:t xml:space="preserve">Сайт: www.petronar.ru.</w:t>
      </w:r>
    </w:p>
    <w:p>
      <w:pPr>
        <w:spacing w:after="120"/>
        <w:jc w:val="both"/>
      </w:pPr>
      <w:r>
        <w:rPr>
          <w:sz w:val="22"/>
          <w:szCs w:val="22"/>
        </w:rPr>
        <w:t xml:space="preserve">Оператор включён в Реестр операторов, осуществляющих обработку персональных данных, регистрационный номер: ___________________ (укажите номер из уведомления Роскомнадзора).</w:t>
      </w:r>
    </w:p>
    <w:p>
      <w:pPr>
        <w:pStyle w:val="Heading2"/>
        <w:spacing w:after="120" w:before="240"/>
      </w:pPr>
      <w:r>
        <w:rPr>
          <w:b/>
          <w:bCs/>
          <w:sz w:val="24"/>
          <w:szCs w:val="24"/>
        </w:rPr>
        <w:t xml:space="preserve">1.6. Ответственный за организацию обработки персональных данных</w:t>
      </w:r>
    </w:p>
    <w:p>
      <w:pPr>
        <w:spacing w:after="120"/>
        <w:jc w:val="both"/>
      </w:pPr>
      <w:r>
        <w:rPr>
          <w:sz w:val="22"/>
          <w:szCs w:val="22"/>
        </w:rPr>
        <w:t xml:space="preserve">В соответствии с частью 1 статьи 22.1 152-ФЗ ответственным за организацию обработки персональных данных в ООО «ПЕТРОНАР» назначен(а):</w:t>
      </w:r>
    </w:p>
    <w:p>
      <w:pPr>
        <w:spacing w:after="120"/>
        <w:jc w:val="both"/>
      </w:pPr>
      <w:r>
        <w:rPr>
          <w:sz w:val="22"/>
          <w:szCs w:val="22"/>
        </w:rPr>
        <w:t xml:space="preserve">Должность: ___________________.</w:t>
      </w:r>
    </w:p>
    <w:p>
      <w:pPr>
        <w:spacing w:after="120"/>
        <w:jc w:val="both"/>
      </w:pPr>
      <w:r>
        <w:rPr>
          <w:sz w:val="22"/>
          <w:szCs w:val="22"/>
        </w:rPr>
        <w:t xml:space="preserve">Ф. И. О.: ___________________.</w:t>
      </w:r>
    </w:p>
    <w:p>
      <w:pPr>
        <w:spacing w:after="120"/>
        <w:jc w:val="both"/>
      </w:pPr>
      <w:r>
        <w:rPr>
          <w:sz w:val="22"/>
          <w:szCs w:val="22"/>
        </w:rPr>
        <w:t xml:space="preserve">Контактный телефон: ___________________.</w:t>
      </w:r>
    </w:p>
    <w:p>
      <w:pPr>
        <w:spacing w:after="120"/>
        <w:jc w:val="both"/>
      </w:pPr>
      <w:r>
        <w:rPr>
          <w:sz w:val="22"/>
          <w:szCs w:val="22"/>
        </w:rPr>
        <w:t xml:space="preserve">Электронная почта: ___________________ (рекомендуется выделенный адрес, например, dpo@petronar.ru).</w:t>
      </w:r>
    </w:p>
    <w:p>
      <w:pPr>
        <w:spacing w:after="120"/>
        <w:jc w:val="both"/>
      </w:pPr>
      <w:r>
        <w:rPr>
          <w:sz w:val="22"/>
          <w:szCs w:val="22"/>
        </w:rPr>
        <w:t xml:space="preserve">Назначение оформлено Приказом Генерального директора от _____________ № _____.</w:t>
      </w:r>
    </w:p>
    <w:p>
      <w:pPr>
        <w:pStyle w:val="Heading2"/>
        <w:spacing w:after="120" w:before="240"/>
      </w:pPr>
      <w:r>
        <w:rPr>
          <w:b/>
          <w:bCs/>
          <w:sz w:val="24"/>
          <w:szCs w:val="24"/>
        </w:rPr>
        <w:t xml:space="preserve">1.7. Размещение и пересмотр Политики</w:t>
      </w:r>
    </w:p>
    <w:p>
      <w:pPr>
        <w:spacing w:after="120"/>
        <w:jc w:val="both"/>
      </w:pPr>
      <w:r>
        <w:rPr>
          <w:sz w:val="22"/>
          <w:szCs w:val="22"/>
        </w:rPr>
        <w:t xml:space="preserve">Настоящая Политика подлежит обязательному размещению в свободном доступе в информационно-телекоммуникационной сети «Интернет» на Сайте Оператора по постоянной ссылке. Политика пересматривается не реже одного раза в год, а также при существенном изменении законодательства Российской Федерации в области персональных данных или внутренних процессов Оператора.</w:t>
      </w:r>
    </w:p>
    <w:p>
      <w:pPr>
        <w:pStyle w:val="Heading1"/>
        <w:spacing w:after="200" w:before="360"/>
      </w:pPr>
      <w:r>
        <w:rPr>
          <w:b/>
          <w:bCs/>
          <w:sz w:val="28"/>
          <w:szCs w:val="28"/>
        </w:rPr>
        <w:t xml:space="preserve">2. ОСНОВНЫЕ ПОНЯТИЯ</w:t>
      </w:r>
    </w:p>
    <w:p>
      <w:pPr>
        <w:spacing w:after="120"/>
        <w:jc w:val="both"/>
      </w:pPr>
      <w:r>
        <w:rPr>
          <w:sz w:val="22"/>
          <w:szCs w:val="22"/>
        </w:rPr>
        <w:t xml:space="preserve">В настоящей Политике используются понятия в значениях, определённых статьёй 3 152-ФЗ. В частности:</w:t>
      </w:r>
    </w:p>
    <w:p>
      <w:pPr>
        <w:pStyle w:val="ListParagraph"/>
        <w:numPr>
          <w:ilvl w:val="0"/>
          <w:numId w:val="2"/>
        </w:numPr>
        <w:spacing w:after="80"/>
        <w:jc w:val="both"/>
      </w:pPr>
      <w:r>
        <w:rPr>
          <w:sz w:val="22"/>
          <w:szCs w:val="22"/>
        </w:rPr>
        <w:t xml:space="preserve">Персональные данные (ПДн) — любая информация, относящаяся прямо или косвенно к определённому или определяемому физическому лицу.</w:t>
      </w:r>
    </w:p>
    <w:p>
      <w:pPr>
        <w:pStyle w:val="ListParagraph"/>
        <w:numPr>
          <w:ilvl w:val="0"/>
          <w:numId w:val="2"/>
        </w:numPr>
        <w:spacing w:after="80"/>
        <w:jc w:val="both"/>
      </w:pPr>
      <w:r>
        <w:rPr>
          <w:sz w:val="22"/>
          <w:szCs w:val="22"/>
        </w:rPr>
        <w:t xml:space="preserve">Оператор — ООО «ПЕТРОНАР».</w:t>
      </w:r>
    </w:p>
    <w:p>
      <w:pPr>
        <w:pStyle w:val="ListParagraph"/>
        <w:numPr>
          <w:ilvl w:val="0"/>
          <w:numId w:val="2"/>
        </w:numPr>
        <w:spacing w:after="80"/>
        <w:jc w:val="both"/>
      </w:pPr>
      <w:r>
        <w:rPr>
          <w:sz w:val="22"/>
          <w:szCs w:val="22"/>
        </w:rPr>
        <w:t xml:space="preserve">Обработка персональных данных — любое действие (операция) или совокупность действий с ПДн, совершаемых с использованием средств автоматизации или без таких средств.</w:t>
      </w:r>
    </w:p>
    <w:p>
      <w:pPr>
        <w:pStyle w:val="ListParagraph"/>
        <w:numPr>
          <w:ilvl w:val="0"/>
          <w:numId w:val="2"/>
        </w:numPr>
        <w:spacing w:after="80"/>
        <w:jc w:val="both"/>
      </w:pPr>
      <w:r>
        <w:rPr>
          <w:sz w:val="22"/>
          <w:szCs w:val="22"/>
        </w:rPr>
        <w:t xml:space="preserve">Автоматизированная обработка — обработка ПДн с помощью средств вычислительной техники.</w:t>
      </w:r>
    </w:p>
    <w:p>
      <w:pPr>
        <w:pStyle w:val="ListParagraph"/>
        <w:numPr>
          <w:ilvl w:val="0"/>
          <w:numId w:val="2"/>
        </w:numPr>
        <w:spacing w:after="80"/>
        <w:jc w:val="both"/>
      </w:pPr>
      <w:r>
        <w:rPr>
          <w:sz w:val="22"/>
          <w:szCs w:val="22"/>
        </w:rPr>
        <w:t xml:space="preserve">Распространение — действия, направленные на раскрытие ПДн неопределённому кругу лиц.</w:t>
      </w:r>
    </w:p>
    <w:p>
      <w:pPr>
        <w:pStyle w:val="ListParagraph"/>
        <w:numPr>
          <w:ilvl w:val="0"/>
          <w:numId w:val="2"/>
        </w:numPr>
        <w:spacing w:after="80"/>
        <w:jc w:val="both"/>
      </w:pPr>
      <w:r>
        <w:rPr>
          <w:sz w:val="22"/>
          <w:szCs w:val="22"/>
        </w:rPr>
        <w:t xml:space="preserve">Предоставление — действия, направленные на раскрытие ПДн определённому лицу или определённому кругу лиц.</w:t>
      </w:r>
    </w:p>
    <w:p>
      <w:pPr>
        <w:pStyle w:val="ListParagraph"/>
        <w:numPr>
          <w:ilvl w:val="0"/>
          <w:numId w:val="2"/>
        </w:numPr>
        <w:spacing w:after="80"/>
        <w:jc w:val="both"/>
      </w:pPr>
      <w:r>
        <w:rPr>
          <w:sz w:val="22"/>
          <w:szCs w:val="22"/>
        </w:rPr>
        <w:t xml:space="preserve">Трансграничная передача — передача ПДн на территорию иностранного государства.</w:t>
      </w:r>
    </w:p>
    <w:p>
      <w:pPr>
        <w:pStyle w:val="ListParagraph"/>
        <w:numPr>
          <w:ilvl w:val="0"/>
          <w:numId w:val="2"/>
        </w:numPr>
        <w:spacing w:after="80"/>
        <w:jc w:val="both"/>
      </w:pPr>
      <w:r>
        <w:rPr>
          <w:sz w:val="22"/>
          <w:szCs w:val="22"/>
        </w:rPr>
        <w:t xml:space="preserve">Обезличивание — действия, в результате которых становится невозможным без использования дополнительной информации определить принадлежность ПДн конкретному субъекту.</w:t>
      </w:r>
    </w:p>
    <w:p>
      <w:pPr>
        <w:pStyle w:val="ListParagraph"/>
        <w:numPr>
          <w:ilvl w:val="0"/>
          <w:numId w:val="2"/>
        </w:numPr>
        <w:spacing w:after="80"/>
        <w:jc w:val="both"/>
      </w:pPr>
      <w:r>
        <w:rPr>
          <w:sz w:val="22"/>
          <w:szCs w:val="22"/>
        </w:rPr>
        <w:t xml:space="preserve">Уничтожение — действия, в результате которых становится невозможным восстановить содержание ПДн в информационной системе и (или) уничтожаются материальные носители ПДн.</w:t>
      </w:r>
    </w:p>
    <w:p>
      <w:pPr>
        <w:pStyle w:val="Heading1"/>
        <w:spacing w:after="200" w:before="360"/>
      </w:pPr>
      <w:r>
        <w:rPr>
          <w:b/>
          <w:bCs/>
          <w:sz w:val="28"/>
          <w:szCs w:val="28"/>
        </w:rPr>
        <w:t xml:space="preserve">3. ПРИНЦИПЫ ОБРАБОТКИ ПЕРСОНАЛЬНЫХ ДАННЫХ</w:t>
      </w:r>
    </w:p>
    <w:p>
      <w:pPr>
        <w:spacing w:after="120"/>
        <w:jc w:val="both"/>
      </w:pPr>
      <w:r>
        <w:rPr>
          <w:sz w:val="22"/>
          <w:szCs w:val="22"/>
        </w:rPr>
        <w:t xml:space="preserve">Обработка ПДн в Обществе осуществляется на основе следующих принципов:</w:t>
      </w:r>
    </w:p>
    <w:p>
      <w:pPr>
        <w:pStyle w:val="ListParagraph"/>
        <w:numPr>
          <w:ilvl w:val="0"/>
          <w:numId w:val="2"/>
        </w:numPr>
        <w:spacing w:after="80"/>
        <w:jc w:val="both"/>
      </w:pPr>
      <w:r>
        <w:rPr>
          <w:sz w:val="22"/>
          <w:szCs w:val="22"/>
        </w:rPr>
        <w:t xml:space="preserve">законность и справедливость;</w:t>
      </w:r>
    </w:p>
    <w:p>
      <w:pPr>
        <w:pStyle w:val="ListParagraph"/>
        <w:numPr>
          <w:ilvl w:val="0"/>
          <w:numId w:val="2"/>
        </w:numPr>
        <w:spacing w:after="80"/>
        <w:jc w:val="both"/>
      </w:pPr>
      <w:r>
        <w:rPr>
          <w:sz w:val="22"/>
          <w:szCs w:val="22"/>
        </w:rPr>
        <w:t xml:space="preserve">ограничение обработки достижением конкретных, заранее определённых и законных целей;</w:t>
      </w:r>
    </w:p>
    <w:p>
      <w:pPr>
        <w:pStyle w:val="ListParagraph"/>
        <w:numPr>
          <w:ilvl w:val="0"/>
          <w:numId w:val="2"/>
        </w:numPr>
        <w:spacing w:after="80"/>
        <w:jc w:val="both"/>
      </w:pPr>
      <w:r>
        <w:rPr>
          <w:sz w:val="22"/>
          <w:szCs w:val="22"/>
        </w:rPr>
        <w:t xml:space="preserve">недопустимость обработки, несовместимой с целями сбора ПДн;</w:t>
      </w:r>
    </w:p>
    <w:p>
      <w:pPr>
        <w:pStyle w:val="ListParagraph"/>
        <w:numPr>
          <w:ilvl w:val="0"/>
          <w:numId w:val="2"/>
        </w:numPr>
        <w:spacing w:after="80"/>
        <w:jc w:val="both"/>
      </w:pPr>
      <w:r>
        <w:rPr>
          <w:sz w:val="22"/>
          <w:szCs w:val="22"/>
        </w:rPr>
        <w:t xml:space="preserve">недопустимость объединения баз данных, содержащих ПДн, обработка которых осуществляется в целях, несовместимых между собой;</w:t>
      </w:r>
    </w:p>
    <w:p>
      <w:pPr>
        <w:pStyle w:val="ListParagraph"/>
        <w:numPr>
          <w:ilvl w:val="0"/>
          <w:numId w:val="2"/>
        </w:numPr>
        <w:spacing w:after="80"/>
        <w:jc w:val="both"/>
      </w:pPr>
      <w:r>
        <w:rPr>
          <w:sz w:val="22"/>
          <w:szCs w:val="22"/>
        </w:rPr>
        <w:t xml:space="preserve">обработка только тех ПДн, которые отвечают целям их обработки;</w:t>
      </w:r>
    </w:p>
    <w:p>
      <w:pPr>
        <w:pStyle w:val="ListParagraph"/>
        <w:numPr>
          <w:ilvl w:val="0"/>
          <w:numId w:val="2"/>
        </w:numPr>
        <w:spacing w:after="80"/>
        <w:jc w:val="both"/>
      </w:pPr>
      <w:r>
        <w:rPr>
          <w:sz w:val="22"/>
          <w:szCs w:val="22"/>
        </w:rPr>
        <w:t xml:space="preserve">соответствие содержания и объёма обрабатываемых ПДн заявленным целям; недопустимость избыточности;</w:t>
      </w:r>
    </w:p>
    <w:p>
      <w:pPr>
        <w:pStyle w:val="ListParagraph"/>
        <w:numPr>
          <w:ilvl w:val="0"/>
          <w:numId w:val="2"/>
        </w:numPr>
        <w:spacing w:after="80"/>
        <w:jc w:val="both"/>
      </w:pPr>
      <w:r>
        <w:rPr>
          <w:sz w:val="22"/>
          <w:szCs w:val="22"/>
        </w:rPr>
        <w:t xml:space="preserve">точность, достаточность и (в необходимых случаях) актуальность ПДн;</w:t>
      </w:r>
    </w:p>
    <w:p>
      <w:pPr>
        <w:pStyle w:val="ListParagraph"/>
        <w:numPr>
          <w:ilvl w:val="0"/>
          <w:numId w:val="2"/>
        </w:numPr>
        <w:spacing w:after="80"/>
        <w:jc w:val="both"/>
      </w:pPr>
      <w:r>
        <w:rPr>
          <w:sz w:val="22"/>
          <w:szCs w:val="22"/>
        </w:rPr>
        <w:t xml:space="preserve">хранение ПДн не дольше, чем этого требуют цели обработки;</w:t>
      </w:r>
    </w:p>
    <w:p>
      <w:pPr>
        <w:pStyle w:val="ListParagraph"/>
        <w:numPr>
          <w:ilvl w:val="0"/>
          <w:numId w:val="2"/>
        </w:numPr>
        <w:spacing w:after="80"/>
        <w:jc w:val="both"/>
      </w:pPr>
      <w:r>
        <w:rPr>
          <w:sz w:val="22"/>
          <w:szCs w:val="22"/>
        </w:rPr>
        <w:t xml:space="preserve">уничтожение или обезличивание ПДн по достижении целей обработки.</w:t>
      </w:r>
    </w:p>
    <w:p>
      <w:pPr>
        <w:pStyle w:val="Heading1"/>
        <w:spacing w:after="200" w:before="360"/>
      </w:pPr>
      <w:r>
        <w:rPr>
          <w:b/>
          <w:bCs/>
          <w:sz w:val="28"/>
          <w:szCs w:val="28"/>
        </w:rPr>
        <w:t xml:space="preserve">4. КАТЕГОРИИ СУБЪЕКТОВ ПЕРСОНАЛЬНЫХ ДАННЫХ</w:t>
      </w:r>
    </w:p>
    <w:p>
      <w:pPr>
        <w:spacing w:after="120"/>
        <w:jc w:val="both"/>
      </w:pPr>
      <w:r>
        <w:rPr>
          <w:sz w:val="22"/>
          <w:szCs w:val="22"/>
        </w:rPr>
        <w:t xml:space="preserve">Оператор обрабатывает персональные данные следующих категорий субъектов:</w:t>
      </w:r>
    </w:p>
    <w:p>
      <w:pPr>
        <w:pStyle w:val="ListParagraph"/>
        <w:numPr>
          <w:ilvl w:val="0"/>
          <w:numId w:val="2"/>
        </w:numPr>
        <w:spacing w:after="80"/>
        <w:jc w:val="both"/>
      </w:pPr>
      <w:r>
        <w:rPr>
          <w:sz w:val="22"/>
          <w:szCs w:val="22"/>
        </w:rPr>
        <w:t xml:space="preserve">работники Оператора, в том числе бывшие;</w:t>
      </w:r>
    </w:p>
    <w:p>
      <w:pPr>
        <w:pStyle w:val="ListParagraph"/>
        <w:numPr>
          <w:ilvl w:val="0"/>
          <w:numId w:val="2"/>
        </w:numPr>
        <w:spacing w:after="80"/>
        <w:jc w:val="both"/>
      </w:pPr>
      <w:r>
        <w:rPr>
          <w:sz w:val="22"/>
          <w:szCs w:val="22"/>
        </w:rPr>
        <w:t xml:space="preserve">кандидаты на замещение вакантных должностей;</w:t>
      </w:r>
    </w:p>
    <w:p>
      <w:pPr>
        <w:pStyle w:val="ListParagraph"/>
        <w:numPr>
          <w:ilvl w:val="0"/>
          <w:numId w:val="2"/>
        </w:numPr>
        <w:spacing w:after="80"/>
        <w:jc w:val="both"/>
      </w:pPr>
      <w:r>
        <w:rPr>
          <w:sz w:val="22"/>
          <w:szCs w:val="22"/>
        </w:rPr>
        <w:t xml:space="preserve">физические лица — контрагенты Оператора по гражданско-правовым договорам;</w:t>
      </w:r>
    </w:p>
    <w:p>
      <w:pPr>
        <w:pStyle w:val="ListParagraph"/>
        <w:numPr>
          <w:ilvl w:val="0"/>
          <w:numId w:val="2"/>
        </w:numPr>
        <w:spacing w:after="80"/>
        <w:jc w:val="both"/>
      </w:pPr>
      <w:r>
        <w:rPr>
          <w:sz w:val="22"/>
          <w:szCs w:val="22"/>
        </w:rPr>
        <w:t xml:space="preserve">представители юридических лиц — контрагентов Оператора;</w:t>
      </w:r>
    </w:p>
    <w:p>
      <w:pPr>
        <w:pStyle w:val="ListParagraph"/>
        <w:numPr>
          <w:ilvl w:val="0"/>
          <w:numId w:val="2"/>
        </w:numPr>
        <w:spacing w:after="80"/>
        <w:jc w:val="both"/>
      </w:pPr>
      <w:r>
        <w:rPr>
          <w:sz w:val="22"/>
          <w:szCs w:val="22"/>
        </w:rPr>
        <w:t xml:space="preserve">посетители Сайта Оператора, в том числе оставляющие заявки через форму обратной связи;</w:t>
      </w:r>
    </w:p>
    <w:p>
      <w:pPr>
        <w:pStyle w:val="ListParagraph"/>
        <w:numPr>
          <w:ilvl w:val="0"/>
          <w:numId w:val="2"/>
        </w:numPr>
        <w:spacing w:after="80"/>
        <w:jc w:val="both"/>
      </w:pPr>
      <w:r>
        <w:rPr>
          <w:sz w:val="22"/>
          <w:szCs w:val="22"/>
        </w:rPr>
        <w:t xml:space="preserve">иные физические лица, обратившиеся к Оператору в письменной, устной или электронной форме.</w:t>
      </w:r>
    </w:p>
    <w:p>
      <w:pPr>
        <w:pStyle w:val="Heading1"/>
        <w:spacing w:after="200" w:before="360"/>
      </w:pPr>
      <w:r>
        <w:rPr>
          <w:b/>
          <w:bCs/>
          <w:sz w:val="28"/>
          <w:szCs w:val="28"/>
        </w:rPr>
        <w:t xml:space="preserve">5. СОСТАВ ОБРАБАТЫВАЕМЫХ ПЕРСОНАЛЬНЫХ ДАННЫХ</w:t>
      </w:r>
    </w:p>
    <w:p>
      <w:pPr>
        <w:pStyle w:val="Heading2"/>
        <w:spacing w:after="120" w:before="240"/>
      </w:pPr>
      <w:r>
        <w:rPr>
          <w:b/>
          <w:bCs/>
          <w:sz w:val="24"/>
          <w:szCs w:val="24"/>
        </w:rPr>
        <w:t xml:space="preserve">5.1. Работники и кандидаты</w:t>
      </w:r>
    </w:p>
    <w:p>
      <w:pPr>
        <w:spacing w:after="120"/>
        <w:jc w:val="both"/>
      </w:pPr>
      <w:r>
        <w:rPr>
          <w:sz w:val="22"/>
          <w:szCs w:val="22"/>
        </w:rPr>
        <w:t xml:space="preserve">Фамилия, имя, отчество; пол; дата и место рождения; гражданство; реквизиты документа, удостоверяющего личность; адрес регистрации и фактического проживания; СНИЛС; ИНН; сведения об образовании, квалификации; сведения о трудовой деятельности и стаже; сведения о воинском учёте; сведения о семейном положении (в объёме, необходимом для гарантий и компенсаций); фотография; контактные телефоны; адрес электронной почты; банковские реквизиты для перечисления заработной платы; сведения о доходах и удержаниях; иные сведения, предусмотренные трудовым законодательством.</w:t>
      </w:r>
    </w:p>
    <w:p>
      <w:pPr>
        <w:pStyle w:val="Heading2"/>
        <w:spacing w:after="120" w:before="240"/>
      </w:pPr>
      <w:r>
        <w:rPr>
          <w:b/>
          <w:bCs/>
          <w:sz w:val="24"/>
          <w:szCs w:val="24"/>
        </w:rPr>
        <w:t xml:space="preserve">5.2. Контрагенты и представители контрагентов</w:t>
      </w:r>
    </w:p>
    <w:p>
      <w:pPr>
        <w:spacing w:after="120"/>
        <w:jc w:val="both"/>
      </w:pPr>
      <w:r>
        <w:rPr>
          <w:sz w:val="22"/>
          <w:szCs w:val="22"/>
        </w:rPr>
        <w:t xml:space="preserve">Фамилия, имя, отчество; должность; наименование организации; адрес; контактный телефон; адрес электронной почты; реквизиты документа, удостоверяющего личность, и доверенности (при необходимости); ИНН (для ИП и самозанятых); банковские реквизиты; сведения, содержащиеся в подписанных документах.</w:t>
      </w:r>
    </w:p>
    <w:p>
      <w:pPr>
        <w:pStyle w:val="Heading2"/>
        <w:spacing w:after="120" w:before="240"/>
      </w:pPr>
      <w:r>
        <w:rPr>
          <w:b/>
          <w:bCs/>
          <w:sz w:val="24"/>
          <w:szCs w:val="24"/>
        </w:rPr>
        <w:t xml:space="preserve">5.3. Посетители Сайта (форма обратной связи)</w:t>
      </w:r>
    </w:p>
    <w:p>
      <w:pPr>
        <w:spacing w:after="120"/>
        <w:jc w:val="both"/>
      </w:pPr>
      <w:r>
        <w:rPr>
          <w:sz w:val="22"/>
          <w:szCs w:val="22"/>
        </w:rPr>
        <w:t xml:space="preserve">Фамилия, имя; адрес электронной почты; контактный телефон; содержание обращения; файлы, приложенные к обращению (спецификации, перечни, фотографии оборудования), и сведения в них; IP-адрес; cookies и иные технические данные (см. раздел 12).</w:t>
      </w:r>
    </w:p>
    <w:p>
      <w:pPr>
        <w:pStyle w:val="Heading2"/>
        <w:spacing w:after="120" w:before="240"/>
      </w:pPr>
      <w:r>
        <w:rPr>
          <w:b/>
          <w:bCs/>
          <w:sz w:val="24"/>
          <w:szCs w:val="24"/>
        </w:rPr>
        <w:t xml:space="preserve">5.4. Специальные категории и биометрические ПДн</w:t>
      </w:r>
    </w:p>
    <w:p>
      <w:pPr>
        <w:spacing w:after="120"/>
        <w:jc w:val="both"/>
      </w:pPr>
      <w:r>
        <w:rPr>
          <w:sz w:val="22"/>
          <w:szCs w:val="22"/>
        </w:rPr>
        <w:t xml:space="preserve">Оператор не обрабатывает специальные категории персональных данных и биометрические персональные данные, за исключением случаев, прямо предусмотренных законодательством Российской Федерации.</w:t>
      </w:r>
    </w:p>
    <w:p>
      <w:pPr>
        <w:pStyle w:val="Heading1"/>
        <w:spacing w:after="200" w:before="360"/>
      </w:pPr>
      <w:r>
        <w:rPr>
          <w:b/>
          <w:bCs/>
          <w:sz w:val="28"/>
          <w:szCs w:val="28"/>
        </w:rPr>
        <w:t xml:space="preserve">6. ЦЕЛИ ОБРАБОТКИ ПЕРСОНАЛЬНЫХ ДАННЫХ</w:t>
      </w:r>
    </w:p>
    <w:p>
      <w:pPr>
        <w:spacing w:after="120"/>
        <w:jc w:val="both"/>
      </w:pPr>
      <w:r>
        <w:rPr>
          <w:sz w:val="22"/>
          <w:szCs w:val="22"/>
        </w:rPr>
        <w:t xml:space="preserve">Оператор обрабатывает ПДн в следующих целях:</w:t>
      </w:r>
    </w:p>
    <w:p>
      <w:pPr>
        <w:pStyle w:val="ListParagraph"/>
        <w:numPr>
          <w:ilvl w:val="0"/>
          <w:numId w:val="2"/>
        </w:numPr>
        <w:spacing w:after="80"/>
        <w:jc w:val="both"/>
      </w:pPr>
      <w:r>
        <w:rPr>
          <w:sz w:val="22"/>
          <w:szCs w:val="22"/>
        </w:rPr>
        <w:t xml:space="preserve">заключение, исполнение, изменение и прекращение трудовых договоров; ведение кадрового делопроизводства; учёт рабочего времени; предоставление гарантий и компенсаций; исполнение обязанностей в области охраны труда;</w:t>
      </w:r>
    </w:p>
    <w:p>
      <w:pPr>
        <w:pStyle w:val="ListParagraph"/>
        <w:numPr>
          <w:ilvl w:val="0"/>
          <w:numId w:val="2"/>
        </w:numPr>
        <w:spacing w:after="80"/>
        <w:jc w:val="both"/>
      </w:pPr>
      <w:r>
        <w:rPr>
          <w:sz w:val="22"/>
          <w:szCs w:val="22"/>
        </w:rPr>
        <w:t xml:space="preserve">рассмотрение кандидатур на замещение вакантных должностей;</w:t>
      </w:r>
    </w:p>
    <w:p>
      <w:pPr>
        <w:pStyle w:val="ListParagraph"/>
        <w:numPr>
          <w:ilvl w:val="0"/>
          <w:numId w:val="2"/>
        </w:numPr>
        <w:spacing w:after="80"/>
        <w:jc w:val="both"/>
      </w:pPr>
      <w:r>
        <w:rPr>
          <w:sz w:val="22"/>
          <w:szCs w:val="22"/>
        </w:rPr>
        <w:t xml:space="preserve">исполнение обязанностей налогового агента, страхователя; предоставление отчётности в ФНС, СФР, Росстат и др.;</w:t>
      </w:r>
    </w:p>
    <w:p>
      <w:pPr>
        <w:pStyle w:val="ListParagraph"/>
        <w:numPr>
          <w:ilvl w:val="0"/>
          <w:numId w:val="2"/>
        </w:numPr>
        <w:spacing w:after="80"/>
        <w:jc w:val="both"/>
      </w:pPr>
      <w:r>
        <w:rPr>
          <w:sz w:val="22"/>
          <w:szCs w:val="22"/>
        </w:rPr>
        <w:t xml:space="preserve">ведение бухгалтерского и налогового учёта;</w:t>
      </w:r>
    </w:p>
    <w:p>
      <w:pPr>
        <w:pStyle w:val="ListParagraph"/>
        <w:numPr>
          <w:ilvl w:val="0"/>
          <w:numId w:val="2"/>
        </w:numPr>
        <w:spacing w:after="80"/>
        <w:jc w:val="both"/>
      </w:pPr>
      <w:r>
        <w:rPr>
          <w:sz w:val="22"/>
          <w:szCs w:val="22"/>
        </w:rPr>
        <w:t xml:space="preserve">заключение и исполнение гражданско-правовых договоров с контрагентами; претензионно-исковая работа;</w:t>
      </w:r>
    </w:p>
    <w:p>
      <w:pPr>
        <w:pStyle w:val="ListParagraph"/>
        <w:numPr>
          <w:ilvl w:val="0"/>
          <w:numId w:val="2"/>
        </w:numPr>
        <w:spacing w:after="80"/>
        <w:jc w:val="both"/>
      </w:pPr>
      <w:r>
        <w:rPr>
          <w:sz w:val="22"/>
          <w:szCs w:val="22"/>
        </w:rPr>
        <w:t xml:space="preserve">обработка обращений субъектов ПДн, поступивших через форму обратной связи на Сайте, по электронной почте или иным каналам;</w:t>
      </w:r>
    </w:p>
    <w:p>
      <w:pPr>
        <w:pStyle w:val="ListParagraph"/>
        <w:numPr>
          <w:ilvl w:val="0"/>
          <w:numId w:val="2"/>
        </w:numPr>
        <w:spacing w:after="80"/>
        <w:jc w:val="both"/>
      </w:pPr>
      <w:r>
        <w:rPr>
          <w:sz w:val="22"/>
          <w:szCs w:val="22"/>
        </w:rPr>
        <w:t xml:space="preserve">информирование клиентов и контрагентов о товарах, услугах, акциях, мероприятиях Оператора (при наличии отдельного согласия);</w:t>
      </w:r>
    </w:p>
    <w:p>
      <w:pPr>
        <w:pStyle w:val="ListParagraph"/>
        <w:numPr>
          <w:ilvl w:val="0"/>
          <w:numId w:val="2"/>
        </w:numPr>
        <w:spacing w:after="80"/>
        <w:jc w:val="both"/>
      </w:pPr>
      <w:r>
        <w:rPr>
          <w:sz w:val="22"/>
          <w:szCs w:val="22"/>
        </w:rPr>
        <w:t xml:space="preserve">обеспечение пропускного и внутриобъектового режима;</w:t>
      </w:r>
    </w:p>
    <w:p>
      <w:pPr>
        <w:pStyle w:val="ListParagraph"/>
        <w:numPr>
          <w:ilvl w:val="0"/>
          <w:numId w:val="2"/>
        </w:numPr>
        <w:spacing w:after="80"/>
        <w:jc w:val="both"/>
      </w:pPr>
      <w:r>
        <w:rPr>
          <w:sz w:val="22"/>
          <w:szCs w:val="22"/>
        </w:rPr>
        <w:t xml:space="preserve">обеспечение безопасности информационных систем Оператора;</w:t>
      </w:r>
    </w:p>
    <w:p>
      <w:pPr>
        <w:pStyle w:val="ListParagraph"/>
        <w:numPr>
          <w:ilvl w:val="0"/>
          <w:numId w:val="2"/>
        </w:numPr>
        <w:spacing w:after="80"/>
        <w:jc w:val="both"/>
      </w:pPr>
      <w:r>
        <w:rPr>
          <w:sz w:val="22"/>
          <w:szCs w:val="22"/>
        </w:rPr>
        <w:t xml:space="preserve">сбор статистики посещаемости Сайта и оценка его эффективности с использованием сервиса «Яндекс Метрика» (при наличии согласия пользователя, раздел 12).</w:t>
      </w:r>
    </w:p>
    <w:p>
      <w:pPr>
        <w:pStyle w:val="Heading1"/>
        <w:spacing w:after="200" w:before="360"/>
      </w:pPr>
      <w:r>
        <w:rPr>
          <w:b/>
          <w:bCs/>
          <w:sz w:val="28"/>
          <w:szCs w:val="28"/>
        </w:rPr>
        <w:t xml:space="preserve">7. ПРАВОВЫЕ ОСНОВАНИЯ ОБРАБОТКИ</w:t>
      </w:r>
    </w:p>
    <w:p>
      <w:pPr>
        <w:spacing w:after="120"/>
        <w:jc w:val="both"/>
      </w:pPr>
      <w:r>
        <w:rPr>
          <w:sz w:val="22"/>
          <w:szCs w:val="22"/>
        </w:rPr>
        <w:t xml:space="preserve">Правовыми основаниями обработки ПДн являются:</w:t>
      </w:r>
    </w:p>
    <w:p>
      <w:pPr>
        <w:pStyle w:val="ListParagraph"/>
        <w:numPr>
          <w:ilvl w:val="0"/>
          <w:numId w:val="2"/>
        </w:numPr>
        <w:spacing w:after="80"/>
        <w:jc w:val="both"/>
      </w:pPr>
      <w:r>
        <w:rPr>
          <w:sz w:val="22"/>
          <w:szCs w:val="22"/>
        </w:rPr>
        <w:t xml:space="preserve">Конституция Российской Федерации, Гражданский, Трудовой, Налоговый кодексы; 152-ФЗ и иные федеральные законы;</w:t>
      </w:r>
    </w:p>
    <w:p>
      <w:pPr>
        <w:pStyle w:val="ListParagraph"/>
        <w:numPr>
          <w:ilvl w:val="0"/>
          <w:numId w:val="2"/>
        </w:numPr>
        <w:spacing w:after="80"/>
        <w:jc w:val="both"/>
      </w:pPr>
      <w:r>
        <w:rPr>
          <w:sz w:val="22"/>
          <w:szCs w:val="22"/>
        </w:rPr>
        <w:t xml:space="preserve">Устав ООО «ПЕТРОНАР» и иные локальные нормативные акты;</w:t>
      </w:r>
    </w:p>
    <w:p>
      <w:pPr>
        <w:pStyle w:val="ListParagraph"/>
        <w:numPr>
          <w:ilvl w:val="0"/>
          <w:numId w:val="2"/>
        </w:numPr>
        <w:spacing w:after="80"/>
        <w:jc w:val="both"/>
      </w:pPr>
      <w:r>
        <w:rPr>
          <w:sz w:val="22"/>
          <w:szCs w:val="22"/>
        </w:rPr>
        <w:t xml:space="preserve">заключённые с субъектами ПДн договоры (трудовые и гражданско-правовые), а также договоры, по которым субъект ПДн является выгодоприобретателем или поручителем;</w:t>
      </w:r>
    </w:p>
    <w:p>
      <w:pPr>
        <w:pStyle w:val="ListParagraph"/>
        <w:numPr>
          <w:ilvl w:val="0"/>
          <w:numId w:val="2"/>
        </w:numPr>
        <w:spacing w:after="80"/>
        <w:jc w:val="both"/>
      </w:pPr>
      <w:r>
        <w:rPr>
          <w:sz w:val="22"/>
          <w:szCs w:val="22"/>
        </w:rPr>
        <w:t xml:space="preserve">согласия субъектов ПДн в случаях, когда такое согласие требуется (в том числе согласие на получение рекламных сообщений в соответствии со статьёй 18 Федерального закона «О рекламе»);</w:t>
      </w:r>
    </w:p>
    <w:p>
      <w:pPr>
        <w:pStyle w:val="ListParagraph"/>
        <w:numPr>
          <w:ilvl w:val="0"/>
          <w:numId w:val="2"/>
        </w:numPr>
        <w:spacing w:after="80"/>
        <w:jc w:val="both"/>
      </w:pPr>
      <w:r>
        <w:rPr>
          <w:sz w:val="22"/>
          <w:szCs w:val="22"/>
        </w:rPr>
        <w:t xml:space="preserve">обращения и запросы субъектов ПДн.</w:t>
      </w:r>
    </w:p>
    <w:p>
      <w:pPr>
        <w:pStyle w:val="Heading1"/>
        <w:spacing w:after="200" w:before="360"/>
      </w:pPr>
      <w:r>
        <w:rPr>
          <w:b/>
          <w:bCs/>
          <w:sz w:val="28"/>
          <w:szCs w:val="28"/>
        </w:rPr>
        <w:t xml:space="preserve">8. СПОСОБЫ И ПЕРЕЧЕНЬ ДЕЙСТВИЙ С ПДН</w:t>
      </w:r>
    </w:p>
    <w:p>
      <w:pPr>
        <w:spacing w:after="120"/>
        <w:jc w:val="both"/>
      </w:pPr>
      <w:r>
        <w:rPr>
          <w:sz w:val="22"/>
          <w:szCs w:val="22"/>
        </w:rPr>
        <w:t xml:space="preserve">8.1. Обработка ПДн осуществляется как с использованием средств автоматизации, так и без них (смешанная обработка).</w:t>
      </w:r>
    </w:p>
    <w:p>
      <w:pPr>
        <w:spacing w:after="120"/>
        <w:jc w:val="both"/>
      </w:pPr>
      <w:r>
        <w:rPr>
          <w:sz w:val="22"/>
          <w:szCs w:val="22"/>
        </w:rPr>
        <w:t xml:space="preserve">8.2. Перечень действий: 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w:t>
      </w:r>
    </w:p>
    <w:p>
      <w:pPr>
        <w:spacing w:after="120"/>
        <w:jc w:val="both"/>
      </w:pPr>
      <w:r>
        <w:rPr>
          <w:sz w:val="22"/>
          <w:szCs w:val="22"/>
        </w:rPr>
        <w:t xml:space="preserve">8.3. Оператор не принимает решений, порождающих юридические последствия в отношении субъекта ПДн или иным образом затрагивающих его права и законные интересы, на основании исключительно автоматизированной обработки ПДн.</w:t>
      </w:r>
    </w:p>
    <w:p>
      <w:pPr>
        <w:pStyle w:val="Heading1"/>
        <w:spacing w:after="200" w:before="360"/>
      </w:pPr>
      <w:r>
        <w:rPr>
          <w:b/>
          <w:bCs/>
          <w:sz w:val="28"/>
          <w:szCs w:val="28"/>
        </w:rPr>
        <w:t xml:space="preserve">9. ЛОКАЛИЗАЦИЯ ОБРАБОТКИ ПДН</w:t>
      </w:r>
    </w:p>
    <w:p>
      <w:pPr>
        <w:spacing w:after="120"/>
        <w:jc w:val="both"/>
      </w:pPr>
      <w:r>
        <w:rPr>
          <w:sz w:val="22"/>
          <w:szCs w:val="22"/>
        </w:rPr>
        <w:t xml:space="preserve">9.1. В соответствии с частью 5 статьи 18 152-ФЗ при сборе ПДн, в том числе посредством Сайта, Оператор обеспечивает запись, систематизацию, накопление, хранение, уточнение, извлечение ПДн граждан Российской Федерации с использованием баз данных, находящихся на территории Российской Федерации.</w:t>
      </w:r>
    </w:p>
    <w:p>
      <w:pPr>
        <w:spacing w:after="120"/>
        <w:jc w:val="both"/>
      </w:pPr>
      <w:r>
        <w:rPr>
          <w:sz w:val="22"/>
          <w:szCs w:val="22"/>
        </w:rPr>
        <w:t xml:space="preserve">9.2. Сайт www.petronar.ru, CRM-системы, почтовые сервисы и иные информационные системы Оператора, в которых осуществляется обработка ПДн, размещены на серверах, физически расположенных на территории Российской Федерации.</w:t>
      </w:r>
    </w:p>
    <w:p>
      <w:pPr>
        <w:pStyle w:val="Heading1"/>
        <w:spacing w:after="200" w:before="360"/>
      </w:pPr>
      <w:r>
        <w:rPr>
          <w:b/>
          <w:bCs/>
          <w:sz w:val="28"/>
          <w:szCs w:val="28"/>
        </w:rPr>
        <w:t xml:space="preserve">10. ТРАНСГРАНИЧНАЯ ПЕРЕДАЧА ПДН</w:t>
      </w:r>
    </w:p>
    <w:p>
      <w:pPr>
        <w:spacing w:after="120"/>
        <w:jc w:val="both"/>
      </w:pPr>
      <w:r>
        <w:rPr>
          <w:sz w:val="22"/>
          <w:szCs w:val="22"/>
        </w:rPr>
        <w:t xml:space="preserve">10.1. Оператор не осуществляет трансграничную передачу персональных данных.</w:t>
      </w:r>
    </w:p>
    <w:p>
      <w:pPr>
        <w:spacing w:after="120"/>
        <w:jc w:val="both"/>
      </w:pPr>
      <w:r>
        <w:rPr>
          <w:sz w:val="22"/>
          <w:szCs w:val="22"/>
        </w:rPr>
        <w:t xml:space="preserve">10.2. В случае возникновения необходимости трансграничной передачи Оператор обязуется до начала такой передачи уведомить Роскомнадзор в порядке, установленном статьёй 12 152-ФЗ, и получить от субъекта отдельное согласие.</w:t>
      </w:r>
    </w:p>
    <w:p>
      <w:pPr>
        <w:pStyle w:val="Heading1"/>
        <w:spacing w:after="200" w:before="360"/>
      </w:pPr>
      <w:r>
        <w:rPr>
          <w:b/>
          <w:bCs/>
          <w:sz w:val="28"/>
          <w:szCs w:val="28"/>
        </w:rPr>
        <w:t xml:space="preserve">11. ПЕРЕДАЧА ПДН ТРЕТЬИМ ЛИЦАМ</w:t>
      </w:r>
    </w:p>
    <w:p>
      <w:pPr>
        <w:spacing w:after="120"/>
        <w:jc w:val="both"/>
      </w:pPr>
      <w:r>
        <w:rPr>
          <w:sz w:val="22"/>
          <w:szCs w:val="22"/>
        </w:rPr>
        <w:t xml:space="preserve">11.1. Оператор может передавать ПДн третьим лицам исключительно в случаях, прямо предусмотренных законодательством Российской Федерации, либо с согласия субъекта.</w:t>
      </w:r>
    </w:p>
    <w:p>
      <w:pPr>
        <w:spacing w:after="120"/>
        <w:jc w:val="both"/>
      </w:pPr>
      <w:r>
        <w:rPr>
          <w:sz w:val="22"/>
          <w:szCs w:val="22"/>
        </w:rPr>
        <w:t xml:space="preserve">11.2. К таким третьим лицам относятся:</w:t>
      </w:r>
    </w:p>
    <w:p>
      <w:pPr>
        <w:pStyle w:val="ListParagraph"/>
        <w:numPr>
          <w:ilvl w:val="0"/>
          <w:numId w:val="2"/>
        </w:numPr>
        <w:spacing w:after="80"/>
        <w:jc w:val="both"/>
      </w:pPr>
      <w:r>
        <w:rPr>
          <w:sz w:val="22"/>
          <w:szCs w:val="22"/>
        </w:rPr>
        <w:t xml:space="preserve">государственные органы (ФНС, СФР, Росстат, МВД, суды, ФССП и др.) — в объёме, установленном законодательством;</w:t>
      </w:r>
    </w:p>
    <w:p>
      <w:pPr>
        <w:pStyle w:val="ListParagraph"/>
        <w:numPr>
          <w:ilvl w:val="0"/>
          <w:numId w:val="2"/>
        </w:numPr>
        <w:spacing w:after="80"/>
        <w:jc w:val="both"/>
      </w:pPr>
      <w:r>
        <w:rPr>
          <w:sz w:val="22"/>
          <w:szCs w:val="22"/>
        </w:rPr>
        <w:t xml:space="preserve">кредитные организации — для перечисления заработной платы и расчётов с контрагентами;</w:t>
      </w:r>
    </w:p>
    <w:p>
      <w:pPr>
        <w:pStyle w:val="ListParagraph"/>
        <w:numPr>
          <w:ilvl w:val="0"/>
          <w:numId w:val="2"/>
        </w:numPr>
        <w:spacing w:after="80"/>
        <w:jc w:val="both"/>
      </w:pPr>
      <w:r>
        <w:rPr>
          <w:sz w:val="22"/>
          <w:szCs w:val="22"/>
        </w:rPr>
        <w:t xml:space="preserve">операторы связи и почтовые операторы (АО «Почта России», курьерские службы) — для доставки корреспонденции и грузов;</w:t>
      </w:r>
    </w:p>
    <w:p>
      <w:pPr>
        <w:pStyle w:val="ListParagraph"/>
        <w:numPr>
          <w:ilvl w:val="0"/>
          <w:numId w:val="2"/>
        </w:numPr>
        <w:spacing w:after="80"/>
        <w:jc w:val="both"/>
      </w:pPr>
      <w:r>
        <w:rPr>
          <w:sz w:val="22"/>
          <w:szCs w:val="22"/>
        </w:rPr>
        <w:t xml:space="preserve">аудиторские, юридические, бухгалтерские и IT-организации — на основании договоров, содержащих условия о конфиденциальности и безопасности ПДн;</w:t>
      </w:r>
    </w:p>
    <w:p>
      <w:pPr>
        <w:pStyle w:val="ListParagraph"/>
        <w:numPr>
          <w:ilvl w:val="0"/>
          <w:numId w:val="2"/>
        </w:numPr>
        <w:spacing w:after="80"/>
        <w:jc w:val="both"/>
      </w:pPr>
      <w:r>
        <w:rPr>
          <w:sz w:val="22"/>
          <w:szCs w:val="22"/>
        </w:rPr>
        <w:t xml:space="preserve">страховые и медицинские организации — в рамках обязательного социального страхования и медицинских осмотров работников;</w:t>
      </w:r>
    </w:p>
    <w:p>
      <w:pPr>
        <w:pStyle w:val="ListParagraph"/>
        <w:numPr>
          <w:ilvl w:val="0"/>
          <w:numId w:val="2"/>
        </w:numPr>
        <w:spacing w:after="80"/>
        <w:jc w:val="both"/>
      </w:pPr>
      <w:r>
        <w:rPr>
          <w:sz w:val="22"/>
          <w:szCs w:val="22"/>
        </w:rPr>
        <w:t xml:space="preserve">ООО «ЯНДЕКС» — в рамках сервиса веб-аналитики «Яндекс Метрика» при наличии согласия пользователя Сайта (раздел 12).</w:t>
      </w:r>
    </w:p>
    <w:p>
      <w:pPr>
        <w:spacing w:after="120"/>
        <w:jc w:val="both"/>
      </w:pPr>
      <w:r>
        <w:rPr>
          <w:sz w:val="22"/>
          <w:szCs w:val="22"/>
        </w:rPr>
        <w:t xml:space="preserve">11.3. Поручение обработки ПДн другому лицу оформляется договором, содержащим перечень действий, цели обработки и обязанность по обеспечению конфиденциальности и безопасности ПДн (статья 19 152-ФЗ).</w:t>
      </w:r>
    </w:p>
    <w:p>
      <w:pPr>
        <w:pStyle w:val="Heading1"/>
        <w:spacing w:after="200" w:before="360"/>
      </w:pPr>
      <w:r>
        <w:rPr>
          <w:b/>
          <w:bCs/>
          <w:sz w:val="28"/>
          <w:szCs w:val="28"/>
        </w:rPr>
        <w:t xml:space="preserve">12. ИНФОРМАЦИЯ, ПОЛУЧАЕМАЯ ЧЕРЕЗ САЙТ. COOKIES И ВЕБ-АНАЛИТИКА</w:t>
      </w:r>
    </w:p>
    <w:p>
      <w:pPr>
        <w:spacing w:after="120"/>
        <w:jc w:val="both"/>
      </w:pPr>
      <w:r>
        <w:rPr>
          <w:sz w:val="22"/>
          <w:szCs w:val="22"/>
        </w:rPr>
        <w:t xml:space="preserve">12.1. При посещении Сайта Оператор может автоматически собирать: IP-адрес; тип и версию браузера; тип операционной системы; страницы Сайта, посещённые пользователем; время посещения; источник перехода; сведения, содержащиеся в файлах cookies.</w:t>
      </w:r>
    </w:p>
    <w:p>
      <w:pPr>
        <w:spacing w:after="120"/>
        <w:jc w:val="both"/>
      </w:pPr>
      <w:r>
        <w:rPr>
          <w:sz w:val="22"/>
          <w:szCs w:val="22"/>
        </w:rPr>
        <w:t xml:space="preserve">12.2. Cookies — небольшие текстовые файлы, сохраняемые в браузере пользователя. Необходимые cookies и данные хранилища браузера (localStorage) используются для корректной работы Сайта, формы обратной связи, защиты от спама и запоминания выбора пользователя в отношении cookies; их применение не требует согласия. Аналитические cookies применяются только с согласия пользователя (пункт 12.5).</w:t>
      </w:r>
    </w:p>
    <w:p>
      <w:pPr>
        <w:spacing w:after="120"/>
        <w:jc w:val="both"/>
      </w:pPr>
      <w:r>
        <w:rPr>
          <w:sz w:val="22"/>
          <w:szCs w:val="22"/>
        </w:rPr>
        <w:t xml:space="preserve">12.3. С согласия пользователя на Сайте используется сервис веб-аналитики «Яндекс Метрика» ООО «ЯНДЕКС» (ОГРН 1027700229193, ИНН 7736207543, 119021, г. Москва, ул. Льва Толстого, д. 16) в целях сбора статистики посещаемости, оценки эффективности Сайта и рекламы, улучшения его работы. Обрабатываются: cookies и идентификатор посетителя Яндекс Метрики, IP-адрес, сведения о браузере, операционной системе, устройстве и разрешении экрана, язык, примерное местоположение по IP-адресу, адреса просмотренных страниц, источник перехода и рекламные метки, время и длительность визита, клики по ссылкам и элементам страниц, а также события на Сайте: отправка формы обратной связи и ошибка при отправке, прохождение проверки «Я не робот», прикрепление файла, нажатие на номер телефона или адрес электронной почты. Запись действий пользователя (Вебвизор) не используется. Содержание полей формы (имя, телефон, адрес электронной почты, текст обращения, приложенные файлы) в Яндекс Метрику не передаётся.</w:t>
      </w:r>
    </w:p>
    <w:p>
      <w:pPr>
        <w:spacing w:after="120"/>
        <w:jc w:val="both"/>
      </w:pPr>
      <w:r>
        <w:rPr>
          <w:sz w:val="22"/>
          <w:szCs w:val="22"/>
        </w:rPr>
        <w:t xml:space="preserve">12.4. Обработку указанных данных по поручению Оператора осуществляет ООО «ЯНДЕКС» на условиях использования сервиса «Яндекс Метрика» (https://yandex.ru/legal/metrica_termsofuse/) и в соответствии с политикой конфиденциальности Яндекса (https://yandex.ru/legal/confidential/). Данные хранятся на серверах, расположенных на территории Российской Федерации. Оператор получает от сервиса статистические отчёты и не использует их для идентификации пользователей.</w:t>
      </w:r>
    </w:p>
    <w:p>
      <w:pPr>
        <w:spacing w:after="120"/>
        <w:jc w:val="both"/>
      </w:pPr>
      <w:r>
        <w:rPr>
          <w:sz w:val="22"/>
          <w:szCs w:val="22"/>
        </w:rPr>
        <w:t xml:space="preserve">12.5. Яндекс Метрика подключается только после нажатия пользователем кнопки «Принять» в уведомлении о cookies. При выборе «Только необходимые» аналитические cookies не устанавливаются и данные в Яндекс Метрику не передаются. Выбор пользователя хранится в браузере (localStorage) в течение 12 месяцев, после чего уведомление показывается повторно.</w:t>
      </w:r>
    </w:p>
    <w:p>
      <w:pPr>
        <w:spacing w:after="120"/>
        <w:jc w:val="both"/>
      </w:pPr>
      <w:r>
        <w:rPr>
          <w:sz w:val="22"/>
          <w:szCs w:val="22"/>
        </w:rPr>
        <w:t xml:space="preserve">12.6. Аналитические cookies Яндекс Метрики хранятся в браузере пользователя не более 1 года. Статистические данные в Яндекс Метрике хранятся в течение срока, необходимого для целей, указанных в пункте 12.3, но не более 3 лет с даты сбора, либо до отзыва согласия.</w:t>
      </w:r>
    </w:p>
    <w:p>
      <w:pPr>
        <w:spacing w:after="120"/>
        <w:jc w:val="both"/>
      </w:pPr>
      <w:r>
        <w:rPr>
          <w:sz w:val="22"/>
          <w:szCs w:val="22"/>
        </w:rPr>
        <w:t xml:space="preserve">12.7. Пользователь вправе в любой момент отозвать согласие: нажать ссылку «Настройки cookies» внизу страницы Сайта и выбрать «Только необходимые», удалить cookies в настройках браузера либо направить отзыв на адрес dpo@petronar.ru в порядке, предусмотренном разделом 18. После отзыва согласия данные в Яндекс Метрику не передаются.</w:t>
      </w:r>
    </w:p>
    <w:p>
      <w:pPr>
        <w:spacing w:after="120"/>
        <w:jc w:val="both"/>
      </w:pPr>
      <w:r>
        <w:rPr>
          <w:sz w:val="22"/>
          <w:szCs w:val="22"/>
        </w:rPr>
        <w:t xml:space="preserve">12.8. Пользователь вправе отключить сохранение cookies в настройках своего браузера. В этом случае часть функционала Сайта может быть недоступна.</w:t>
      </w:r>
    </w:p>
    <w:p>
      <w:pPr>
        <w:pStyle w:val="Heading1"/>
        <w:spacing w:after="200" w:before="360"/>
      </w:pPr>
      <w:r>
        <w:rPr>
          <w:b/>
          <w:bCs/>
          <w:sz w:val="28"/>
          <w:szCs w:val="28"/>
        </w:rPr>
        <w:t xml:space="preserve">13. СРОКИ ОБРАБОТКИ И ХРАНЕНИЯ ПДН</w:t>
      </w:r>
    </w:p>
    <w:p>
      <w:pPr>
        <w:spacing w:after="120"/>
        <w:jc w:val="both"/>
      </w:pPr>
      <w:r>
        <w:rPr>
          <w:sz w:val="22"/>
          <w:szCs w:val="22"/>
        </w:rPr>
        <w:t xml:space="preserve">13.1. Сроки определяются исходя из целей обработки, требований законодательства и положений договоров:</w:t>
      </w:r>
    </w:p>
    <w:p>
      <w:pPr>
        <w:pStyle w:val="ListParagraph"/>
        <w:numPr>
          <w:ilvl w:val="0"/>
          <w:numId w:val="2"/>
        </w:numPr>
        <w:spacing w:after="80"/>
        <w:jc w:val="both"/>
      </w:pPr>
      <w:r>
        <w:rPr>
          <w:sz w:val="22"/>
          <w:szCs w:val="22"/>
        </w:rPr>
        <w:t xml:space="preserve">кадровые документы — в сроки, установленные Приказом Росархива от 20.12.2019 № 236 (личные карточки — 50 лет, приказы по личному составу — 50/75 лет и др.);</w:t>
      </w:r>
    </w:p>
    <w:p>
      <w:pPr>
        <w:pStyle w:val="ListParagraph"/>
        <w:numPr>
          <w:ilvl w:val="0"/>
          <w:numId w:val="2"/>
        </w:numPr>
        <w:spacing w:after="80"/>
        <w:jc w:val="both"/>
      </w:pPr>
      <w:r>
        <w:rPr>
          <w:sz w:val="22"/>
          <w:szCs w:val="22"/>
        </w:rPr>
        <w:t xml:space="preserve">первичные учётные документы, регистры бухгалтерского учёта — не менее 5 лет;</w:t>
      </w:r>
    </w:p>
    <w:p>
      <w:pPr>
        <w:pStyle w:val="ListParagraph"/>
        <w:numPr>
          <w:ilvl w:val="0"/>
          <w:numId w:val="2"/>
        </w:numPr>
        <w:spacing w:after="80"/>
        <w:jc w:val="both"/>
      </w:pPr>
      <w:r>
        <w:rPr>
          <w:sz w:val="22"/>
          <w:szCs w:val="22"/>
        </w:rPr>
        <w:t xml:space="preserve">ПДн контрагентов по договорам — в течение срока действия договора и 5 лет после прекращения, если иное не установлено законом;</w:t>
      </w:r>
    </w:p>
    <w:p>
      <w:pPr>
        <w:pStyle w:val="ListParagraph"/>
        <w:numPr>
          <w:ilvl w:val="0"/>
          <w:numId w:val="2"/>
        </w:numPr>
        <w:spacing w:after="80"/>
        <w:jc w:val="both"/>
      </w:pPr>
      <w:r>
        <w:rPr>
          <w:sz w:val="22"/>
          <w:szCs w:val="22"/>
        </w:rPr>
        <w:t xml:space="preserve">ПДн, полученные через форму обратной связи на Сайте, — в течение срока, необходимого для рассмотрения обращения, но не более 1 года, если иное не следует из существа обращения или не установлено законом;</w:t>
      </w:r>
    </w:p>
    <w:p>
      <w:pPr>
        <w:pStyle w:val="ListParagraph"/>
        <w:numPr>
          <w:ilvl w:val="0"/>
          <w:numId w:val="2"/>
        </w:numPr>
        <w:spacing w:after="80"/>
        <w:jc w:val="both"/>
      </w:pPr>
      <w:r>
        <w:rPr>
          <w:sz w:val="22"/>
          <w:szCs w:val="22"/>
        </w:rPr>
        <w:t xml:space="preserve">файлы, приложенные к обращениям через форму обратной связи на Сайте, — не более 90 дней, если они не стали частью переписки по сделке;</w:t>
      </w:r>
    </w:p>
    <w:p>
      <w:pPr>
        <w:pStyle w:val="ListParagraph"/>
        <w:numPr>
          <w:ilvl w:val="0"/>
          <w:numId w:val="2"/>
        </w:numPr>
        <w:spacing w:after="80"/>
        <w:jc w:val="both"/>
      </w:pPr>
      <w:r>
        <w:rPr>
          <w:sz w:val="22"/>
          <w:szCs w:val="22"/>
        </w:rPr>
        <w:t xml:space="preserve">ПДн, обрабатываемые на основании согласия, — в течение срока действия согласия, но не более срока, необходимого для достижения целей обработки.</w:t>
      </w:r>
    </w:p>
    <w:p>
      <w:pPr>
        <w:spacing w:after="120"/>
        <w:jc w:val="both"/>
      </w:pPr>
      <w:r>
        <w:rPr>
          <w:sz w:val="22"/>
          <w:szCs w:val="22"/>
        </w:rPr>
        <w:t xml:space="preserve">13.2. По достижении целей обработки или отзыве согласия (если иное правовое основание для обработки отсутствует) ПДн подлежат уничтожению или обезличиванию.</w:t>
      </w:r>
    </w:p>
    <w:p>
      <w:pPr>
        <w:pStyle w:val="Heading1"/>
        <w:spacing w:after="200" w:before="360"/>
      </w:pPr>
      <w:r>
        <w:rPr>
          <w:b/>
          <w:bCs/>
          <w:sz w:val="28"/>
          <w:szCs w:val="28"/>
        </w:rPr>
        <w:t xml:space="preserve">14. ПОРЯДОК УНИЧТОЖЕНИЯ ПДН</w:t>
      </w:r>
    </w:p>
    <w:p>
      <w:pPr>
        <w:spacing w:after="120"/>
        <w:jc w:val="both"/>
      </w:pPr>
      <w:r>
        <w:rPr>
          <w:sz w:val="22"/>
          <w:szCs w:val="22"/>
        </w:rPr>
        <w:t xml:space="preserve">14.1. Уничтожение ПДн на материальных носителях производится путём физического уничтожения носителей (шредирование, сжигание, иные способы, исключающие восстановление) с составлением акта об уничтожении.</w:t>
      </w:r>
    </w:p>
    <w:p>
      <w:pPr>
        <w:spacing w:after="120"/>
        <w:jc w:val="both"/>
      </w:pPr>
      <w:r>
        <w:rPr>
          <w:sz w:val="22"/>
          <w:szCs w:val="22"/>
        </w:rPr>
        <w:t xml:space="preserve">14.2. Уничтожение ПДн в информационных системах производится путём удаления записей из баз данных и резервных копий способом, исключающим восстановление, с составлением акта.</w:t>
      </w:r>
    </w:p>
    <w:p>
      <w:pPr>
        <w:spacing w:after="120"/>
        <w:jc w:val="both"/>
      </w:pPr>
      <w:r>
        <w:rPr>
          <w:sz w:val="22"/>
          <w:szCs w:val="22"/>
        </w:rPr>
        <w:t xml:space="preserve">14.3. Акт об уничтожении ПДн составляется в порядке, утверждённом Приказом Роскомнадзора от 28.10.2022 № 179. Подтверждение уничтожения предоставляется субъекту ПДн по запросу в течение 30 дней (часть 3.1 статьи 21 152-ФЗ).</w:t>
      </w:r>
    </w:p>
    <w:p>
      <w:pPr>
        <w:pStyle w:val="Heading1"/>
        <w:spacing w:after="200" w:before="360"/>
      </w:pPr>
      <w:r>
        <w:rPr>
          <w:b/>
          <w:bCs/>
          <w:sz w:val="28"/>
          <w:szCs w:val="28"/>
        </w:rPr>
        <w:t xml:space="preserve">15. МЕРЫ ПО ОБЕСПЕЧЕНИЮ БЕЗОПАСНОСТИ ПДН</w:t>
      </w:r>
    </w:p>
    <w:p>
      <w:pPr>
        <w:spacing w:after="120"/>
        <w:jc w:val="both"/>
      </w:pPr>
      <w:r>
        <w:rPr>
          <w:sz w:val="22"/>
          <w:szCs w:val="22"/>
        </w:rPr>
        <w:t xml:space="preserve">В целях обеспечения безопасности ПДн Оператор реализует следующие меры:</w:t>
      </w:r>
    </w:p>
    <w:p>
      <w:pPr>
        <w:pStyle w:val="Heading2"/>
        <w:spacing w:after="120" w:before="240"/>
      </w:pPr>
      <w:r>
        <w:rPr>
          <w:b/>
          <w:bCs/>
          <w:sz w:val="24"/>
          <w:szCs w:val="24"/>
        </w:rPr>
        <w:t xml:space="preserve">15.1. Правовые меры</w:t>
      </w:r>
    </w:p>
    <w:p>
      <w:pPr>
        <w:pStyle w:val="ListParagraph"/>
        <w:numPr>
          <w:ilvl w:val="0"/>
          <w:numId w:val="2"/>
        </w:numPr>
        <w:spacing w:after="80"/>
        <w:jc w:val="both"/>
      </w:pPr>
      <w:r>
        <w:rPr>
          <w:sz w:val="22"/>
          <w:szCs w:val="22"/>
        </w:rPr>
        <w:t xml:space="preserve">разработка и утверждение настоящей Политики и иных локальных нормативных актов;</w:t>
      </w:r>
    </w:p>
    <w:p>
      <w:pPr>
        <w:pStyle w:val="ListParagraph"/>
        <w:numPr>
          <w:ilvl w:val="0"/>
          <w:numId w:val="2"/>
        </w:numPr>
        <w:spacing w:after="80"/>
        <w:jc w:val="both"/>
      </w:pPr>
      <w:r>
        <w:rPr>
          <w:sz w:val="22"/>
          <w:szCs w:val="22"/>
        </w:rPr>
        <w:t xml:space="preserve">включение в договоры с контрагентами условий о конфиденциальности и безопасности ПДн.</w:t>
      </w:r>
    </w:p>
    <w:p>
      <w:pPr>
        <w:pStyle w:val="Heading2"/>
        <w:spacing w:after="120" w:before="240"/>
      </w:pPr>
      <w:r>
        <w:rPr>
          <w:b/>
          <w:bCs/>
          <w:sz w:val="24"/>
          <w:szCs w:val="24"/>
        </w:rPr>
        <w:t xml:space="preserve">15.2. Организационные меры</w:t>
      </w:r>
    </w:p>
    <w:p>
      <w:pPr>
        <w:pStyle w:val="ListParagraph"/>
        <w:numPr>
          <w:ilvl w:val="0"/>
          <w:numId w:val="2"/>
        </w:numPr>
        <w:spacing w:after="80"/>
        <w:jc w:val="both"/>
      </w:pPr>
      <w:r>
        <w:rPr>
          <w:sz w:val="22"/>
          <w:szCs w:val="22"/>
        </w:rPr>
        <w:t xml:space="preserve">назначение ответственного за организацию обработки ПДн;</w:t>
      </w:r>
    </w:p>
    <w:p>
      <w:pPr>
        <w:pStyle w:val="ListParagraph"/>
        <w:numPr>
          <w:ilvl w:val="0"/>
          <w:numId w:val="2"/>
        </w:numPr>
        <w:spacing w:after="80"/>
        <w:jc w:val="both"/>
      </w:pPr>
      <w:r>
        <w:rPr>
          <w:sz w:val="22"/>
          <w:szCs w:val="22"/>
        </w:rPr>
        <w:t xml:space="preserve">определение перечня лиц, допущенных к обработке ПДн; оформление обязательств о неразглашении;</w:t>
      </w:r>
    </w:p>
    <w:p>
      <w:pPr>
        <w:pStyle w:val="ListParagraph"/>
        <w:numPr>
          <w:ilvl w:val="0"/>
          <w:numId w:val="2"/>
        </w:numPr>
        <w:spacing w:after="80"/>
        <w:jc w:val="both"/>
      </w:pPr>
      <w:r>
        <w:rPr>
          <w:sz w:val="22"/>
          <w:szCs w:val="22"/>
        </w:rPr>
        <w:t xml:space="preserve">ознакомление работников с законодательством о ПДн и локальными актами; обучение;</w:t>
      </w:r>
    </w:p>
    <w:p>
      <w:pPr>
        <w:pStyle w:val="ListParagraph"/>
        <w:numPr>
          <w:ilvl w:val="0"/>
          <w:numId w:val="2"/>
        </w:numPr>
        <w:spacing w:after="80"/>
        <w:jc w:val="both"/>
      </w:pPr>
      <w:r>
        <w:rPr>
          <w:sz w:val="22"/>
          <w:szCs w:val="22"/>
        </w:rPr>
        <w:t xml:space="preserve">определение угроз безопасности ПДн и уровня защищённости в соответствии с Постановлением Правительства РФ № 1119;</w:t>
      </w:r>
    </w:p>
    <w:p>
      <w:pPr>
        <w:pStyle w:val="ListParagraph"/>
        <w:numPr>
          <w:ilvl w:val="0"/>
          <w:numId w:val="2"/>
        </w:numPr>
        <w:spacing w:after="80"/>
        <w:jc w:val="both"/>
      </w:pPr>
      <w:r>
        <w:rPr>
          <w:sz w:val="22"/>
          <w:szCs w:val="22"/>
        </w:rPr>
        <w:t xml:space="preserve">учёт машинных носителей ПДн;</w:t>
      </w:r>
    </w:p>
    <w:p>
      <w:pPr>
        <w:pStyle w:val="ListParagraph"/>
        <w:numPr>
          <w:ilvl w:val="0"/>
          <w:numId w:val="2"/>
        </w:numPr>
        <w:spacing w:after="80"/>
        <w:jc w:val="both"/>
      </w:pPr>
      <w:r>
        <w:rPr>
          <w:sz w:val="22"/>
          <w:szCs w:val="22"/>
        </w:rPr>
        <w:t xml:space="preserve">организация пропускного режима и физической защиты помещений;</w:t>
      </w:r>
    </w:p>
    <w:p>
      <w:pPr>
        <w:pStyle w:val="ListParagraph"/>
        <w:numPr>
          <w:ilvl w:val="0"/>
          <w:numId w:val="2"/>
        </w:numPr>
        <w:spacing w:after="80"/>
        <w:jc w:val="both"/>
      </w:pPr>
      <w:r>
        <w:rPr>
          <w:sz w:val="22"/>
          <w:szCs w:val="22"/>
        </w:rPr>
        <w:t xml:space="preserve">внутренний контроль соответствия обработки ПДн требованиям 152-ФЗ;</w:t>
      </w:r>
    </w:p>
    <w:p>
      <w:pPr>
        <w:pStyle w:val="ListParagraph"/>
        <w:numPr>
          <w:ilvl w:val="0"/>
          <w:numId w:val="2"/>
        </w:numPr>
        <w:spacing w:after="80"/>
        <w:jc w:val="both"/>
      </w:pPr>
      <w:r>
        <w:rPr>
          <w:sz w:val="22"/>
          <w:szCs w:val="22"/>
        </w:rPr>
        <w:t xml:space="preserve">оценка вреда, который может быть причинён субъектам ПДн в случае нарушения законодательства.</w:t>
      </w:r>
    </w:p>
    <w:p>
      <w:pPr>
        <w:pStyle w:val="Heading2"/>
        <w:spacing w:after="120" w:before="240"/>
      </w:pPr>
      <w:r>
        <w:rPr>
          <w:b/>
          <w:bCs/>
          <w:sz w:val="24"/>
          <w:szCs w:val="24"/>
        </w:rPr>
        <w:t xml:space="preserve">15.3. Технические меры</w:t>
      </w:r>
    </w:p>
    <w:p>
      <w:pPr>
        <w:pStyle w:val="ListParagraph"/>
        <w:numPr>
          <w:ilvl w:val="0"/>
          <w:numId w:val="2"/>
        </w:numPr>
        <w:spacing w:after="80"/>
        <w:jc w:val="both"/>
      </w:pPr>
      <w:r>
        <w:rPr>
          <w:sz w:val="22"/>
          <w:szCs w:val="22"/>
        </w:rPr>
        <w:t xml:space="preserve">разграничение прав доступа пользователей к информационным системам;</w:t>
      </w:r>
    </w:p>
    <w:p>
      <w:pPr>
        <w:pStyle w:val="ListParagraph"/>
        <w:numPr>
          <w:ilvl w:val="0"/>
          <w:numId w:val="2"/>
        </w:numPr>
        <w:spacing w:after="80"/>
        <w:jc w:val="both"/>
      </w:pPr>
      <w:r>
        <w:rPr>
          <w:sz w:val="22"/>
          <w:szCs w:val="22"/>
        </w:rPr>
        <w:t xml:space="preserve">использование сертифицированных средств защиты информации, в том числе антивирусной защиты;</w:t>
      </w:r>
    </w:p>
    <w:p>
      <w:pPr>
        <w:pStyle w:val="ListParagraph"/>
        <w:numPr>
          <w:ilvl w:val="0"/>
          <w:numId w:val="2"/>
        </w:numPr>
        <w:spacing w:after="80"/>
        <w:jc w:val="both"/>
      </w:pPr>
      <w:r>
        <w:rPr>
          <w:sz w:val="22"/>
          <w:szCs w:val="22"/>
        </w:rPr>
        <w:t xml:space="preserve">регистрация и учёт действий пользователей в информационных системах;</w:t>
      </w:r>
    </w:p>
    <w:p>
      <w:pPr>
        <w:pStyle w:val="ListParagraph"/>
        <w:numPr>
          <w:ilvl w:val="0"/>
          <w:numId w:val="2"/>
        </w:numPr>
        <w:spacing w:after="80"/>
        <w:jc w:val="both"/>
      </w:pPr>
      <w:r>
        <w:rPr>
          <w:sz w:val="22"/>
          <w:szCs w:val="22"/>
        </w:rPr>
        <w:t xml:space="preserve">резервное копирование данных;</w:t>
      </w:r>
    </w:p>
    <w:p>
      <w:pPr>
        <w:pStyle w:val="ListParagraph"/>
        <w:numPr>
          <w:ilvl w:val="0"/>
          <w:numId w:val="2"/>
        </w:numPr>
        <w:spacing w:after="80"/>
        <w:jc w:val="both"/>
      </w:pPr>
      <w:r>
        <w:rPr>
          <w:sz w:val="22"/>
          <w:szCs w:val="22"/>
        </w:rPr>
        <w:t xml:space="preserve">обновление программного обеспечения и средств защиты информации;</w:t>
      </w:r>
    </w:p>
    <w:p>
      <w:pPr>
        <w:pStyle w:val="ListParagraph"/>
        <w:numPr>
          <w:ilvl w:val="0"/>
          <w:numId w:val="2"/>
        </w:numPr>
        <w:spacing w:after="80"/>
        <w:jc w:val="both"/>
      </w:pPr>
      <w:r>
        <w:rPr>
          <w:sz w:val="22"/>
          <w:szCs w:val="22"/>
        </w:rPr>
        <w:t xml:space="preserve">обнаружение фактов несанкционированного доступа и принятие мер.</w:t>
      </w:r>
    </w:p>
    <w:p>
      <w:pPr>
        <w:pStyle w:val="Heading1"/>
        <w:spacing w:after="200" w:before="360"/>
      </w:pPr>
      <w:r>
        <w:rPr>
          <w:b/>
          <w:bCs/>
          <w:sz w:val="28"/>
          <w:szCs w:val="28"/>
        </w:rPr>
        <w:t xml:space="preserve">16. РЕАГИРОВАНИЕ НА ИНЦИДЕНТЫ</w:t>
      </w:r>
    </w:p>
    <w:p>
      <w:pPr>
        <w:spacing w:after="120"/>
        <w:jc w:val="both"/>
      </w:pPr>
      <w:r>
        <w:rPr>
          <w:sz w:val="22"/>
          <w:szCs w:val="22"/>
        </w:rPr>
        <w:t xml:space="preserve">16.1. В случае установления факта неправомерной или случайной передачи (предоставления, распространения, доступа) ПДн, повлёкшей нарушение прав субъектов, Оператор обязан:</w:t>
      </w:r>
    </w:p>
    <w:p>
      <w:pPr>
        <w:pStyle w:val="ListParagraph"/>
        <w:numPr>
          <w:ilvl w:val="0"/>
          <w:numId w:val="2"/>
        </w:numPr>
        <w:spacing w:after="80"/>
        <w:jc w:val="both"/>
      </w:pPr>
      <w:r>
        <w:rPr>
          <w:sz w:val="22"/>
          <w:szCs w:val="22"/>
        </w:rPr>
        <w:t xml:space="preserve">в течение 24 часов с момента выявления инцидента уведомить Роскомнадзор о произошедшем, его предполагаемых причинах, предполагаемом вреде, принятых мерах, а также о лице, уполномоченном на взаимодействие с Роскомнадзором (часть 3.1 статьи 21 152-ФЗ);</w:t>
      </w:r>
    </w:p>
    <w:p>
      <w:pPr>
        <w:pStyle w:val="ListParagraph"/>
        <w:numPr>
          <w:ilvl w:val="0"/>
          <w:numId w:val="2"/>
        </w:numPr>
        <w:spacing w:after="80"/>
        <w:jc w:val="both"/>
      </w:pPr>
      <w:r>
        <w:rPr>
          <w:sz w:val="22"/>
          <w:szCs w:val="22"/>
        </w:rPr>
        <w:t xml:space="preserve">в течение 72 часов с момента выявления инцидента уведомить Роскомнадзор о результатах внутреннего расследования и о лицах, действия которых стали причиной инцидента (при наличии).</w:t>
      </w:r>
    </w:p>
    <w:p>
      <w:pPr>
        <w:spacing w:after="120"/>
        <w:jc w:val="both"/>
      </w:pPr>
      <w:r>
        <w:rPr>
          <w:sz w:val="22"/>
          <w:szCs w:val="22"/>
        </w:rPr>
        <w:t xml:space="preserve">16.2. Порядок действий работников при выявлении инцидента, форма уведомления и контактные лица определяются Регламентом реагирования на инциденты безопасности ПДн.</w:t>
      </w:r>
    </w:p>
    <w:p>
      <w:pPr>
        <w:pStyle w:val="Heading1"/>
        <w:spacing w:after="200" w:before="360"/>
      </w:pPr>
      <w:r>
        <w:rPr>
          <w:b/>
          <w:bCs/>
          <w:sz w:val="28"/>
          <w:szCs w:val="28"/>
        </w:rPr>
        <w:t xml:space="preserve">17. ПРАВА СУБЪЕКТА ПЕРСОНАЛЬНЫХ ДАННЫХ</w:t>
      </w:r>
    </w:p>
    <w:p>
      <w:pPr>
        <w:spacing w:after="120"/>
        <w:jc w:val="both"/>
      </w:pPr>
      <w:r>
        <w:rPr>
          <w:sz w:val="22"/>
          <w:szCs w:val="22"/>
        </w:rPr>
        <w:t xml:space="preserve">Субъект ПДн имеет право:</w:t>
      </w:r>
    </w:p>
    <w:p>
      <w:pPr>
        <w:pStyle w:val="ListParagraph"/>
        <w:numPr>
          <w:ilvl w:val="0"/>
          <w:numId w:val="2"/>
        </w:numPr>
        <w:spacing w:after="80"/>
        <w:jc w:val="both"/>
      </w:pPr>
      <w:r>
        <w:rPr>
          <w:sz w:val="22"/>
          <w:szCs w:val="22"/>
        </w:rPr>
        <w:t xml:space="preserve">получать информацию, касающуюся обработки его ПДн (статья 14 152-ФЗ);</w:t>
      </w:r>
    </w:p>
    <w:p>
      <w:pPr>
        <w:pStyle w:val="ListParagraph"/>
        <w:numPr>
          <w:ilvl w:val="0"/>
          <w:numId w:val="2"/>
        </w:numPr>
        <w:spacing w:after="80"/>
        <w:jc w:val="both"/>
      </w:pPr>
      <w:r>
        <w:rPr>
          <w:sz w:val="22"/>
          <w:szCs w:val="22"/>
        </w:rPr>
        <w:t xml:space="preserve">требовать уточнения, блокирования или уничтожения своих ПДн в случаях, предусмотренных законодательством;</w:t>
      </w:r>
    </w:p>
    <w:p>
      <w:pPr>
        <w:pStyle w:val="ListParagraph"/>
        <w:numPr>
          <w:ilvl w:val="0"/>
          <w:numId w:val="2"/>
        </w:numPr>
        <w:spacing w:after="80"/>
        <w:jc w:val="both"/>
      </w:pPr>
      <w:r>
        <w:rPr>
          <w:sz w:val="22"/>
          <w:szCs w:val="22"/>
        </w:rPr>
        <w:t xml:space="preserve">отзывать согласие на обработку ПДн в любой момент;</w:t>
      </w:r>
    </w:p>
    <w:p>
      <w:pPr>
        <w:pStyle w:val="ListParagraph"/>
        <w:numPr>
          <w:ilvl w:val="0"/>
          <w:numId w:val="2"/>
        </w:numPr>
        <w:spacing w:after="80"/>
        <w:jc w:val="both"/>
      </w:pPr>
      <w:r>
        <w:rPr>
          <w:sz w:val="22"/>
          <w:szCs w:val="22"/>
        </w:rPr>
        <w:t xml:space="preserve">обжаловать действия или бездействие Оператора в Роскомнадзор или в судебном порядке;</w:t>
      </w:r>
    </w:p>
    <w:p>
      <w:pPr>
        <w:pStyle w:val="ListParagraph"/>
        <w:numPr>
          <w:ilvl w:val="0"/>
          <w:numId w:val="2"/>
        </w:numPr>
        <w:spacing w:after="80"/>
        <w:jc w:val="both"/>
      </w:pPr>
      <w:r>
        <w:rPr>
          <w:sz w:val="22"/>
          <w:szCs w:val="22"/>
        </w:rPr>
        <w:t xml:space="preserve">на защиту своих прав, в том числе на возмещение убытков и компенсацию морального вреда.</w:t>
      </w:r>
    </w:p>
    <w:p>
      <w:pPr>
        <w:pStyle w:val="Heading1"/>
        <w:spacing w:after="200" w:before="360"/>
      </w:pPr>
      <w:r>
        <w:rPr>
          <w:b/>
          <w:bCs/>
          <w:sz w:val="28"/>
          <w:szCs w:val="28"/>
        </w:rPr>
        <w:t xml:space="preserve">18. ПОРЯДОК РЕАЛИЗАЦИИ ПРАВ. ОТЗЫВ СОГЛАСИЯ</w:t>
      </w:r>
    </w:p>
    <w:p>
      <w:pPr>
        <w:spacing w:after="120"/>
        <w:jc w:val="both"/>
      </w:pPr>
      <w:r>
        <w:rPr>
          <w:sz w:val="22"/>
          <w:szCs w:val="22"/>
        </w:rPr>
        <w:t xml:space="preserve">18.1. Для реализации своих прав субъект направляет Оператору запрос (отзыв) одним из способов:</w:t>
      </w:r>
    </w:p>
    <w:p>
      <w:pPr>
        <w:pStyle w:val="ListParagraph"/>
        <w:numPr>
          <w:ilvl w:val="0"/>
          <w:numId w:val="2"/>
        </w:numPr>
        <w:spacing w:after="80"/>
        <w:jc w:val="both"/>
      </w:pPr>
      <w:r>
        <w:rPr>
          <w:sz w:val="22"/>
          <w:szCs w:val="22"/>
        </w:rPr>
        <w:t xml:space="preserve">на бумажном носителе по адресу: 119017, г. Москва, ул. Пятницкая, д. 37, помещ. 1/1;</w:t>
      </w:r>
    </w:p>
    <w:p>
      <w:pPr>
        <w:pStyle w:val="ListParagraph"/>
        <w:numPr>
          <w:ilvl w:val="0"/>
          <w:numId w:val="2"/>
        </w:numPr>
        <w:spacing w:after="80"/>
        <w:jc w:val="both"/>
      </w:pPr>
      <w:r>
        <w:rPr>
          <w:sz w:val="22"/>
          <w:szCs w:val="22"/>
        </w:rPr>
        <w:t xml:space="preserve">на адрес электронной почты: info@petronar.ru (с указанием в теме «Запрос субъекта персональных данных»).</w:t>
      </w:r>
    </w:p>
    <w:p>
      <w:pPr>
        <w:spacing w:after="120"/>
        <w:jc w:val="both"/>
      </w:pPr>
      <w:r>
        <w:rPr>
          <w:sz w:val="22"/>
          <w:szCs w:val="22"/>
        </w:rPr>
        <w:t xml:space="preserve">18.2. Запрос (отзыв) должен содержать: фамилию, имя, отчество субъекта (или представителя); номер документа, удостоверяющего личность, дату его выдачи и сведения о выдавшем органе либо иные идентифицирующие сведения; сведения, подтверждающие участие субъекта в отношениях с Оператором (номер договора, иное); подпись субъекта (для бумажных запросов) либо электронную подпись.</w:t>
      </w:r>
    </w:p>
    <w:p>
      <w:pPr>
        <w:spacing w:after="120"/>
        <w:jc w:val="both"/>
      </w:pPr>
      <w:r>
        <w:rPr>
          <w:sz w:val="22"/>
          <w:szCs w:val="22"/>
        </w:rPr>
        <w:t xml:space="preserve">18.3. Оператор рассматривает запрос (отзыв) в течение 10 рабочих дней с момента поступления и направляет ответ субъекту тем же способом, которым был направлен запрос, если иное не указано в запросе.</w:t>
      </w:r>
    </w:p>
    <w:p>
      <w:pPr>
        <w:spacing w:after="120"/>
        <w:jc w:val="both"/>
      </w:pPr>
      <w:r>
        <w:rPr>
          <w:sz w:val="22"/>
          <w:szCs w:val="22"/>
        </w:rPr>
        <w:t xml:space="preserve">18.4. В случае отзыва субъектом согласия на обработку Оператор прекращает обработку и уничтожает (обезличивает) ПДн в срок, не превышающий 30 дней с даты поступления отзыва, если иное не предусмотрено законодательством либо у Оператора отсутствует иное правовое основание для продолжения обработки.</w:t>
      </w:r>
    </w:p>
    <w:p>
      <w:pPr>
        <w:pStyle w:val="Heading1"/>
        <w:spacing w:after="200" w:before="360"/>
      </w:pPr>
      <w:r>
        <w:rPr>
          <w:b/>
          <w:bCs/>
          <w:sz w:val="28"/>
          <w:szCs w:val="28"/>
        </w:rPr>
        <w:t xml:space="preserve">19. ЗАКЛЮЧИТЕЛЬНЫЕ ПОЛОЖЕНИЯ</w:t>
      </w:r>
    </w:p>
    <w:p>
      <w:pPr>
        <w:spacing w:after="120"/>
        <w:jc w:val="both"/>
      </w:pPr>
      <w:r>
        <w:rPr>
          <w:sz w:val="22"/>
          <w:szCs w:val="22"/>
        </w:rPr>
        <w:t xml:space="preserve">19.1. Настоящая Политика является общедоступным документом и подлежит размещению на Сайте Оператора www.petronar.ru.</w:t>
      </w:r>
    </w:p>
    <w:p>
      <w:pPr>
        <w:spacing w:after="120"/>
        <w:jc w:val="both"/>
      </w:pPr>
      <w:r>
        <w:rPr>
          <w:sz w:val="22"/>
          <w:szCs w:val="22"/>
        </w:rPr>
        <w:t xml:space="preserve">19.2. Политика вступает в силу с момента её утверждения и действует бессрочно — до её отмены или утверждения новой редакции.</w:t>
      </w:r>
    </w:p>
    <w:p>
      <w:pPr>
        <w:spacing w:after="120"/>
        <w:jc w:val="both"/>
      </w:pPr>
      <w:r>
        <w:rPr>
          <w:sz w:val="22"/>
          <w:szCs w:val="22"/>
        </w:rPr>
        <w:t xml:space="preserve">19.3. К настоящей Политике и отношениям, возникающим в связи с обработкой ПДн в ООО «ПЕТРОНАР», применяется законодательство Российской Федерации.</w:t>
      </w:r>
    </w:p>
    <w:p>
      <w:pPr>
        <w:spacing w:after="120"/>
        <w:jc w:val="both"/>
      </w:pPr>
      <w:r>
        <w:rPr>
          <w:sz w:val="22"/>
          <w:szCs w:val="22"/>
        </w:rPr>
        <w:t xml:space="preserve">19.4. Контроль исполнения настоящей Политики возлагается на ответственного за организацию обработки ПДн в ООО «ПЕТРОНАР».</w:t>
      </w:r>
    </w:p>
    <w:sectPr>
      <w:footerReference w:type="default" r:id="rId7"/>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t xml:space="preserve">Стр. </w:t>
    </w:r>
    <w:r>
      <w:rPr>
        <w:sz w:val="18"/>
        <w:szCs w:val="18"/>
      </w:rPr>
      <w:fldChar w:fldCharType="begin"/>
      <w:instrText xml:space="preserve">PAGE</w:instrText>
      <w:fldChar w:fldCharType="separate"/>
      <w:fldChar w:fldCharType="end"/>
    </w:r>
    <w:r>
      <w:rPr>
        <w:sz w:val="18"/>
        <w:szCs w:val="18"/>
      </w:rPr>
      <w:t xml:space="preserve"> из </w:t>
    </w:r>
    <w:r>
      <w:rPr>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Times New Roman" w:cs="Times New Roman" w:eastAsia="Times New Roman" w:hAnsi="Times New Roman"/>
      <w:b/>
      <w:bCs/>
      <w:sz w:val="28"/>
      <w:szCs w:val="28"/>
    </w:rPr>
  </w:style>
  <w:style w:type="paragraph" w:styleId="Heading2">
    <w:name w:val="Heading 2"/>
    <w:basedOn w:val="Normal"/>
    <w:next w:val="Normal"/>
    <w:qFormat/>
    <w:pPr>
      <w:spacing w:after="120" w:before="240"/>
      <w:outlineLvl w:val="1"/>
    </w:pPr>
    <w:rPr>
      <w:rFonts w:ascii="Times New Roman" w:cs="Times New Roman" w:eastAsia="Times New Roman" w:hAnsi="Times New Roman"/>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обработки персональных данных</dc:title>
  <dc:creator>ООО Петронар</dc:creator>
  <cp:lastModifiedBy>Un-named</cp:lastModifiedBy>
  <cp:revision>1</cp:revision>
  <dcterms:created xsi:type="dcterms:W3CDTF">2026-05-27T07:10:17.073Z</dcterms:created>
  <dcterms:modified xsi:type="dcterms:W3CDTF">2026-05-27T07:10:17.073Z</dcterms:modified>
</cp:coreProperties>
</file>

<file path=docProps/custom.xml><?xml version="1.0" encoding="utf-8"?>
<Properties xmlns="http://schemas.openxmlformats.org/officeDocument/2006/custom-properties" xmlns:vt="http://schemas.openxmlformats.org/officeDocument/2006/docPropsVTypes"/>
</file>